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963" w:rsidRPr="007F7D32" w:rsidRDefault="00730778" w:rsidP="00E36FC4">
      <w:pPr>
        <w:jc w:val="center"/>
        <w:rPr>
          <w:rFonts w:ascii="Times New Roman" w:hAnsi="Times New Roman"/>
          <w:lang w:eastAsia="ja-JP"/>
        </w:rPr>
      </w:pPr>
      <w:bookmarkStart w:id="0" w:name="_GoBack"/>
      <w:bookmarkEnd w:id="0"/>
      <w:r w:rsidRPr="007F7D32">
        <w:rPr>
          <w:rFonts w:ascii="Times New Roman" w:hAnsi="Times New Roman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481965</wp:posOffset>
                </wp:positionV>
                <wp:extent cx="6027420" cy="948055"/>
                <wp:effectExtent l="0" t="0" r="0" b="444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9480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7F821" id="Rectangle 7" o:spid="_x0000_s1026" style="position:absolute;margin-left:-2.4pt;margin-top:37.95pt;width:474.6pt;height:7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" filled="f" strokecolor="windowText" strokeweight="2pt">
                <v:path arrowok="t"/>
              </v:rect>
            </w:pict>
          </mc:Fallback>
        </mc:AlternateContent>
      </w:r>
      <w:r w:rsidRPr="007F7D32">
        <w:rPr>
          <w:rFonts w:ascii="Times New Roman" w:hAnsi="Times New Roman"/>
          <w:b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-117475</wp:posOffset>
                </wp:positionV>
                <wp:extent cx="6026785" cy="59944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785" cy="599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3FFD6" id="Rectangle 9" o:spid="_x0000_s1026" style="position:absolute;margin-left:-2.35pt;margin-top:-9.25pt;width:474.55pt;height:4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" filled="f" strokecolor="windowText" strokeweight="2pt">
                <v:path arrowok="t"/>
              </v:rect>
            </w:pict>
          </mc:Fallback>
        </mc:AlternateContent>
      </w:r>
      <w:r w:rsidR="00414963" w:rsidRPr="007F7D32">
        <w:rPr>
          <w:rFonts w:ascii="Times New Roman" w:hAnsi="Times New Roman"/>
          <w:b/>
        </w:rPr>
        <w:t>2</w:t>
      </w:r>
      <w:r w:rsidR="00437574">
        <w:rPr>
          <w:rFonts w:ascii="Times New Roman" w:hAnsi="Times New Roman"/>
          <w:b/>
        </w:rPr>
        <w:t>8</w:t>
      </w:r>
      <w:r w:rsidR="00C126AB" w:rsidRPr="007F7D32">
        <w:rPr>
          <w:rFonts w:ascii="Times New Roman" w:hAnsi="Times New Roman"/>
          <w:b/>
          <w:vertAlign w:val="superscript"/>
        </w:rPr>
        <w:t>th</w:t>
      </w:r>
      <w:r w:rsidR="00C126AB" w:rsidRPr="007F7D32">
        <w:rPr>
          <w:rFonts w:ascii="Times New Roman" w:hAnsi="Times New Roman"/>
          <w:b/>
        </w:rPr>
        <w:t xml:space="preserve"> </w:t>
      </w:r>
      <w:r w:rsidR="00414963" w:rsidRPr="007F7D32">
        <w:rPr>
          <w:rFonts w:ascii="Times New Roman" w:hAnsi="Times New Roman"/>
          <w:b/>
        </w:rPr>
        <w:t>Meeting of the Wiesbaden Group on Business Registers</w:t>
      </w:r>
      <w:r w:rsidR="00414963" w:rsidRPr="007F7D32">
        <w:rPr>
          <w:rFonts w:ascii="Times New Roman" w:hAnsi="Times New Roman"/>
          <w:b/>
        </w:rPr>
        <w:br/>
        <w:t>-</w:t>
      </w:r>
      <w:r w:rsidR="005869A9" w:rsidRPr="007F7D32">
        <w:rPr>
          <w:rFonts w:ascii="Times New Roman" w:hAnsi="Times New Roman"/>
          <w:b/>
        </w:rPr>
        <w:t xml:space="preserve"> </w:t>
      </w:r>
      <w:r w:rsidR="00437574">
        <w:rPr>
          <w:rFonts w:ascii="Times New Roman" w:hAnsi="Times New Roman"/>
          <w:b/>
          <w:lang w:eastAsia="ja-JP"/>
        </w:rPr>
        <w:t>The Hague</w:t>
      </w:r>
      <w:r w:rsidR="00C126AB" w:rsidRPr="007F7D32">
        <w:rPr>
          <w:rFonts w:ascii="Times New Roman" w:hAnsi="Times New Roman"/>
          <w:b/>
        </w:rPr>
        <w:t>,</w:t>
      </w:r>
      <w:r w:rsidR="00414963" w:rsidRPr="007F7D32">
        <w:rPr>
          <w:rFonts w:ascii="Times New Roman" w:hAnsi="Times New Roman"/>
          <w:b/>
        </w:rPr>
        <w:t xml:space="preserve"> </w:t>
      </w:r>
      <w:r w:rsidR="00437574">
        <w:rPr>
          <w:rFonts w:ascii="Times New Roman" w:hAnsi="Times New Roman"/>
          <w:b/>
        </w:rPr>
        <w:t>2</w:t>
      </w:r>
      <w:r w:rsidR="00414963" w:rsidRPr="007F7D32">
        <w:rPr>
          <w:rFonts w:ascii="Times New Roman" w:hAnsi="Times New Roman"/>
          <w:b/>
        </w:rPr>
        <w:t xml:space="preserve"> </w:t>
      </w:r>
      <w:r w:rsidR="00010EB1">
        <w:rPr>
          <w:rFonts w:ascii="Times New Roman" w:hAnsi="Times New Roman"/>
          <w:b/>
        </w:rPr>
        <w:t>-</w:t>
      </w:r>
      <w:r w:rsidR="00414963" w:rsidRPr="007F7D32">
        <w:rPr>
          <w:rFonts w:ascii="Times New Roman" w:hAnsi="Times New Roman"/>
          <w:b/>
        </w:rPr>
        <w:t xml:space="preserve"> </w:t>
      </w:r>
      <w:r w:rsidR="00E4415B">
        <w:rPr>
          <w:rFonts w:ascii="Times New Roman" w:hAnsi="Times New Roman"/>
          <w:b/>
        </w:rPr>
        <w:t>6</w:t>
      </w:r>
      <w:r w:rsidR="00414963" w:rsidRPr="007F7D32">
        <w:rPr>
          <w:rFonts w:ascii="Times New Roman" w:hAnsi="Times New Roman"/>
          <w:b/>
        </w:rPr>
        <w:t xml:space="preserve"> </w:t>
      </w:r>
      <w:r w:rsidR="00437574">
        <w:rPr>
          <w:rFonts w:ascii="Times New Roman" w:hAnsi="Times New Roman"/>
          <w:b/>
          <w:lang w:eastAsia="ja-JP"/>
        </w:rPr>
        <w:t>October</w:t>
      </w:r>
      <w:r w:rsidR="00414963" w:rsidRPr="007F7D32">
        <w:rPr>
          <w:rFonts w:ascii="Times New Roman" w:hAnsi="Times New Roman"/>
          <w:b/>
        </w:rPr>
        <w:t xml:space="preserve"> 20</w:t>
      </w:r>
      <w:r w:rsidR="00437574">
        <w:rPr>
          <w:rFonts w:ascii="Times New Roman" w:hAnsi="Times New Roman"/>
          <w:b/>
        </w:rPr>
        <w:t>23</w:t>
      </w:r>
    </w:p>
    <w:p w:rsidR="00414963" w:rsidRPr="00DB4788" w:rsidRDefault="002506AE" w:rsidP="007F7D32">
      <w:pPr>
        <w:widowControl w:val="0"/>
        <w:spacing w:after="120"/>
        <w:jc w:val="center"/>
        <w:rPr>
          <w:rFonts w:ascii="Times New Roman" w:hAnsi="Times New Roman"/>
          <w:lang w:val="de-DE"/>
        </w:rPr>
      </w:pPr>
      <w:r w:rsidRPr="00DB4788">
        <w:rPr>
          <w:rFonts w:ascii="Times New Roman" w:hAnsi="Times New Roman"/>
          <w:lang w:val="de-DE"/>
        </w:rPr>
        <w:t>Rico Konen</w:t>
      </w:r>
      <w:r w:rsidR="00DB4788" w:rsidRPr="00DB4788">
        <w:rPr>
          <w:rFonts w:ascii="Times New Roman" w:hAnsi="Times New Roman"/>
          <w:lang w:val="de-DE"/>
        </w:rPr>
        <w:t xml:space="preserve"> (</w:t>
      </w:r>
      <w:r w:rsidR="00DB4788">
        <w:rPr>
          <w:rFonts w:ascii="Times New Roman" w:hAnsi="Times New Roman"/>
          <w:lang w:val="de-DE"/>
        </w:rPr>
        <w:t>SN</w:t>
      </w:r>
      <w:r w:rsidR="00DB4788" w:rsidRPr="00DB4788">
        <w:rPr>
          <w:rFonts w:ascii="Times New Roman" w:hAnsi="Times New Roman"/>
          <w:lang w:val="de-DE"/>
        </w:rPr>
        <w:t>)</w:t>
      </w:r>
      <w:r w:rsidR="00276A9F" w:rsidRPr="00DB4788">
        <w:rPr>
          <w:rFonts w:ascii="Times New Roman" w:hAnsi="Times New Roman"/>
          <w:lang w:val="de-DE"/>
        </w:rPr>
        <w:br/>
      </w:r>
      <w:r w:rsidRPr="00DB4788">
        <w:rPr>
          <w:rFonts w:ascii="Times New Roman" w:hAnsi="Times New Roman"/>
          <w:lang w:val="de-DE"/>
        </w:rPr>
        <w:t>Floris Statema</w:t>
      </w:r>
      <w:r w:rsidR="00DB4788">
        <w:rPr>
          <w:rFonts w:ascii="Times New Roman" w:hAnsi="Times New Roman"/>
          <w:lang w:val="de-DE"/>
        </w:rPr>
        <w:t xml:space="preserve"> (NCB)</w:t>
      </w:r>
    </w:p>
    <w:p w:rsidR="00414963" w:rsidRPr="007F7D32" w:rsidRDefault="00730778" w:rsidP="00414963">
      <w:pPr>
        <w:jc w:val="center"/>
        <w:rPr>
          <w:rFonts w:ascii="Times New Roman" w:hAnsi="Times New Roman"/>
        </w:rPr>
      </w:pPr>
      <w:r w:rsidRPr="007F7D32">
        <w:rPr>
          <w:rFonts w:ascii="Times New Roman" w:hAnsi="Times New Roman"/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302895</wp:posOffset>
                </wp:positionV>
                <wp:extent cx="6027420" cy="76898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76898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F5D11C" id="Rectangle 10" o:spid="_x0000_s1026" style="position:absolute;margin-left:-2.3pt;margin-top:23.85pt;width:474.6pt;height:6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" filled="f" strokecolor="windowText" strokeweight="2pt">
                <v:path arrowok="t"/>
              </v:rect>
            </w:pict>
          </mc:Fallback>
        </mc:AlternateContent>
      </w:r>
      <w:r w:rsidR="002506AE">
        <w:rPr>
          <w:rFonts w:ascii="Times New Roman" w:hAnsi="Times New Roman"/>
        </w:rPr>
        <w:t>S</w:t>
      </w:r>
      <w:r w:rsidR="00414963" w:rsidRPr="007F7D32">
        <w:rPr>
          <w:rFonts w:ascii="Times New Roman" w:hAnsi="Times New Roman"/>
        </w:rPr>
        <w:t>ession</w:t>
      </w:r>
      <w:r w:rsidR="002506AE">
        <w:rPr>
          <w:rFonts w:ascii="Times New Roman" w:hAnsi="Times New Roman"/>
        </w:rPr>
        <w:t xml:space="preserve"> 6: </w:t>
      </w:r>
      <w:r w:rsidR="002506AE" w:rsidRPr="002506AE">
        <w:rPr>
          <w:rFonts w:ascii="Times New Roman" w:hAnsi="Times New Roman"/>
        </w:rPr>
        <w:t>New data sources: Opportunity and challenges</w:t>
      </w:r>
      <w:r w:rsidR="002506AE">
        <w:rPr>
          <w:rFonts w:ascii="Times New Roman" w:hAnsi="Times New Roman"/>
        </w:rPr>
        <w:t xml:space="preserve"> </w:t>
      </w:r>
    </w:p>
    <w:p w:rsidR="007F7D32" w:rsidRPr="007F7D32" w:rsidRDefault="007F7D32" w:rsidP="00414963">
      <w:pPr>
        <w:jc w:val="center"/>
        <w:rPr>
          <w:rFonts w:ascii="Times New Roman" w:hAnsi="Times New Roman"/>
          <w:b/>
        </w:rPr>
      </w:pPr>
    </w:p>
    <w:p w:rsidR="00414963" w:rsidRPr="007F7D32" w:rsidRDefault="002506AE" w:rsidP="0041496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MOU between Statistics Netherlands and the National Central Bank </w:t>
      </w:r>
    </w:p>
    <w:p w:rsidR="00E36FC4" w:rsidRPr="007F7D32" w:rsidRDefault="00E36FC4" w:rsidP="00414963">
      <w:pPr>
        <w:jc w:val="center"/>
        <w:rPr>
          <w:rFonts w:ascii="Arial Rounded MT Bold" w:hAnsi="Arial Rounded MT Bold"/>
          <w:b/>
          <w:i/>
        </w:rPr>
      </w:pPr>
    </w:p>
    <w:p w:rsidR="007F7D32" w:rsidRPr="007F7D32" w:rsidRDefault="007F7D32" w:rsidP="007F7D32">
      <w:pPr>
        <w:jc w:val="center"/>
        <w:rPr>
          <w:rFonts w:ascii="Times New Roman" w:hAnsi="Times New Roman"/>
          <w:b/>
        </w:rPr>
      </w:pPr>
      <w:r w:rsidRPr="007F7D32">
        <w:rPr>
          <w:rFonts w:ascii="Times New Roman" w:hAnsi="Times New Roman"/>
          <w:b/>
        </w:rPr>
        <w:t>Abstract</w:t>
      </w:r>
    </w:p>
    <w:p w:rsidR="008830A9" w:rsidRDefault="00624E47" w:rsidP="00003875">
      <w:pPr>
        <w:pStyle w:val="Default"/>
        <w:jc w:val="both"/>
        <w:rPr>
          <w:sz w:val="22"/>
          <w:szCs w:val="22"/>
          <w:lang w:val="en-US"/>
        </w:rPr>
      </w:pPr>
      <w:r>
        <w:rPr>
          <w:lang w:val="en-US"/>
        </w:rPr>
        <w:t xml:space="preserve">Since 2017 </w:t>
      </w:r>
      <w:r w:rsidRPr="00624E47">
        <w:rPr>
          <w:sz w:val="22"/>
          <w:szCs w:val="22"/>
          <w:lang w:val="en-US"/>
        </w:rPr>
        <w:t xml:space="preserve">Statistics Netherlands (SN) </w:t>
      </w:r>
      <w:r>
        <w:rPr>
          <w:sz w:val="22"/>
          <w:szCs w:val="22"/>
          <w:lang w:val="en-US"/>
        </w:rPr>
        <w:t xml:space="preserve">have </w:t>
      </w:r>
      <w:r w:rsidRPr="00624E47">
        <w:rPr>
          <w:sz w:val="22"/>
          <w:szCs w:val="22"/>
          <w:lang w:val="en-US"/>
        </w:rPr>
        <w:t>intensif</w:t>
      </w:r>
      <w:r>
        <w:rPr>
          <w:sz w:val="22"/>
          <w:szCs w:val="22"/>
          <w:lang w:val="en-US"/>
        </w:rPr>
        <w:t>ied</w:t>
      </w:r>
      <w:r w:rsidRPr="00624E47">
        <w:rPr>
          <w:sz w:val="22"/>
          <w:szCs w:val="22"/>
          <w:lang w:val="en-US"/>
        </w:rPr>
        <w:t xml:space="preserve"> their collaboration </w:t>
      </w:r>
      <w:r w:rsidR="000D5154">
        <w:rPr>
          <w:sz w:val="22"/>
          <w:szCs w:val="22"/>
          <w:lang w:val="en-US"/>
        </w:rPr>
        <w:t xml:space="preserve">with the National Central Bank (NCB) </w:t>
      </w:r>
      <w:r>
        <w:rPr>
          <w:sz w:val="22"/>
          <w:szCs w:val="22"/>
          <w:lang w:val="en-US"/>
        </w:rPr>
        <w:t>to improve the quality</w:t>
      </w:r>
      <w:r w:rsidRPr="00624E47">
        <w:rPr>
          <w:sz w:val="22"/>
          <w:szCs w:val="22"/>
          <w:lang w:val="en-US"/>
        </w:rPr>
        <w:t xml:space="preserve"> and </w:t>
      </w:r>
      <w:r>
        <w:rPr>
          <w:sz w:val="22"/>
          <w:szCs w:val="22"/>
          <w:lang w:val="en-US"/>
        </w:rPr>
        <w:t xml:space="preserve">the </w:t>
      </w:r>
      <w:r w:rsidRPr="00624E47">
        <w:rPr>
          <w:sz w:val="22"/>
          <w:szCs w:val="22"/>
          <w:lang w:val="en-US"/>
        </w:rPr>
        <w:t>consistency of statistics on the Dutch economy</w:t>
      </w:r>
      <w:r>
        <w:rPr>
          <w:sz w:val="22"/>
          <w:szCs w:val="22"/>
          <w:lang w:val="en-US"/>
        </w:rPr>
        <w:t xml:space="preserve"> to </w:t>
      </w:r>
      <w:r w:rsidR="000D5154">
        <w:rPr>
          <w:sz w:val="22"/>
          <w:szCs w:val="22"/>
          <w:lang w:val="en-US"/>
        </w:rPr>
        <w:t xml:space="preserve">be able to </w:t>
      </w:r>
      <w:r>
        <w:rPr>
          <w:sz w:val="22"/>
          <w:szCs w:val="22"/>
          <w:lang w:val="en-US"/>
        </w:rPr>
        <w:t>fulfil the National and European requirements as specified in several regulations</w:t>
      </w:r>
      <w:r w:rsidRPr="00624E47">
        <w:rPr>
          <w:sz w:val="22"/>
          <w:szCs w:val="22"/>
          <w:lang w:val="en-US"/>
        </w:rPr>
        <w:t xml:space="preserve">, </w:t>
      </w:r>
      <w:r w:rsidR="00537541">
        <w:rPr>
          <w:sz w:val="22"/>
          <w:szCs w:val="22"/>
          <w:lang w:val="en-US"/>
        </w:rPr>
        <w:t xml:space="preserve">e.g. </w:t>
      </w:r>
      <w:r w:rsidRPr="00624E47">
        <w:rPr>
          <w:sz w:val="22"/>
          <w:szCs w:val="22"/>
          <w:lang w:val="en-US"/>
        </w:rPr>
        <w:t>on National Accounts</w:t>
      </w:r>
      <w:r>
        <w:rPr>
          <w:sz w:val="22"/>
          <w:szCs w:val="22"/>
          <w:lang w:val="en-US"/>
        </w:rPr>
        <w:t xml:space="preserve">, on the </w:t>
      </w:r>
      <w:r w:rsidRPr="00624E47">
        <w:rPr>
          <w:sz w:val="22"/>
          <w:szCs w:val="22"/>
          <w:lang w:val="en-US"/>
        </w:rPr>
        <w:t>Balance of Payments</w:t>
      </w:r>
      <w:r>
        <w:rPr>
          <w:sz w:val="22"/>
          <w:szCs w:val="22"/>
          <w:lang w:val="en-US"/>
        </w:rPr>
        <w:t xml:space="preserve"> or on the latest </w:t>
      </w:r>
      <w:r w:rsidR="008830A9">
        <w:rPr>
          <w:sz w:val="22"/>
          <w:szCs w:val="22"/>
          <w:lang w:val="en-US"/>
        </w:rPr>
        <w:t>‘</w:t>
      </w:r>
      <w:r>
        <w:rPr>
          <w:sz w:val="22"/>
          <w:szCs w:val="22"/>
          <w:lang w:val="en-US"/>
        </w:rPr>
        <w:t>Anacredit regulation</w:t>
      </w:r>
      <w:r w:rsidR="008830A9">
        <w:rPr>
          <w:sz w:val="22"/>
          <w:szCs w:val="22"/>
          <w:lang w:val="en-US"/>
        </w:rPr>
        <w:t>’</w:t>
      </w:r>
      <w:r w:rsidRPr="00624E47">
        <w:rPr>
          <w:sz w:val="22"/>
          <w:szCs w:val="22"/>
          <w:lang w:val="en-US"/>
        </w:rPr>
        <w:t xml:space="preserve">. </w:t>
      </w:r>
    </w:p>
    <w:p w:rsidR="001D1F98" w:rsidRDefault="00D958C6" w:rsidP="00003875">
      <w:pPr>
        <w:pStyle w:val="Default"/>
        <w:spacing w:before="120" w:after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During </w:t>
      </w:r>
      <w:r w:rsidR="008830A9">
        <w:rPr>
          <w:sz w:val="22"/>
          <w:szCs w:val="22"/>
          <w:lang w:val="en-US"/>
        </w:rPr>
        <w:t xml:space="preserve">the Wiesbaden Group Meeting in Neuchatel (2018), </w:t>
      </w:r>
      <w:r w:rsidR="00624E47">
        <w:rPr>
          <w:sz w:val="22"/>
          <w:szCs w:val="22"/>
          <w:lang w:val="en-US"/>
        </w:rPr>
        <w:t xml:space="preserve">Barry Coenen </w:t>
      </w:r>
      <w:r w:rsidR="008830A9">
        <w:rPr>
          <w:sz w:val="22"/>
          <w:szCs w:val="22"/>
          <w:lang w:val="en-US"/>
        </w:rPr>
        <w:t>presented his</w:t>
      </w:r>
      <w:r w:rsidR="00624E47">
        <w:rPr>
          <w:sz w:val="22"/>
          <w:szCs w:val="22"/>
          <w:lang w:val="en-US"/>
        </w:rPr>
        <w:t xml:space="preserve"> paper</w:t>
      </w:r>
      <w:r w:rsidR="001D1F98">
        <w:rPr>
          <w:rStyle w:val="Voetnootmarkering"/>
          <w:sz w:val="22"/>
          <w:szCs w:val="22"/>
          <w:lang w:val="en-US"/>
        </w:rPr>
        <w:footnoteReference w:id="1"/>
      </w:r>
      <w:r w:rsidR="00624E47">
        <w:rPr>
          <w:sz w:val="22"/>
          <w:szCs w:val="22"/>
          <w:lang w:val="en-US"/>
        </w:rPr>
        <w:t xml:space="preserve"> about the challenges to improve the coherence </w:t>
      </w:r>
      <w:r w:rsidR="00432E5F">
        <w:rPr>
          <w:sz w:val="22"/>
          <w:szCs w:val="22"/>
          <w:lang w:val="en-US"/>
        </w:rPr>
        <w:t>between</w:t>
      </w:r>
      <w:r w:rsidR="00624E47">
        <w:rPr>
          <w:sz w:val="22"/>
          <w:szCs w:val="22"/>
          <w:lang w:val="en-US"/>
        </w:rPr>
        <w:t xml:space="preserve"> </w:t>
      </w:r>
      <w:r w:rsidR="00432E5F">
        <w:rPr>
          <w:sz w:val="22"/>
          <w:szCs w:val="22"/>
          <w:lang w:val="en-US"/>
        </w:rPr>
        <w:t xml:space="preserve">the mandatory </w:t>
      </w:r>
      <w:r w:rsidR="00624E47" w:rsidRPr="00624E47">
        <w:rPr>
          <w:sz w:val="22"/>
          <w:szCs w:val="22"/>
          <w:lang w:val="en-US"/>
        </w:rPr>
        <w:t xml:space="preserve">statistics </w:t>
      </w:r>
      <w:r w:rsidR="00432E5F">
        <w:rPr>
          <w:sz w:val="22"/>
          <w:szCs w:val="22"/>
          <w:lang w:val="en-US"/>
        </w:rPr>
        <w:t xml:space="preserve">of both organizations </w:t>
      </w:r>
      <w:r w:rsidR="00624E47">
        <w:rPr>
          <w:sz w:val="22"/>
          <w:szCs w:val="22"/>
          <w:lang w:val="en-US"/>
        </w:rPr>
        <w:t>and overcome t</w:t>
      </w:r>
      <w:r w:rsidR="00624E47" w:rsidRPr="00624E47">
        <w:rPr>
          <w:sz w:val="22"/>
          <w:szCs w:val="22"/>
          <w:lang w:val="en-US"/>
        </w:rPr>
        <w:t>he integration problems of the statistical outcomes</w:t>
      </w:r>
      <w:r w:rsidR="00624E47">
        <w:rPr>
          <w:sz w:val="22"/>
          <w:szCs w:val="22"/>
          <w:lang w:val="en-US"/>
        </w:rPr>
        <w:t xml:space="preserve"> caused by </w:t>
      </w:r>
      <w:r w:rsidR="00624E47" w:rsidRPr="00624E47">
        <w:rPr>
          <w:sz w:val="22"/>
          <w:szCs w:val="22"/>
          <w:lang w:val="en-US"/>
        </w:rPr>
        <w:t>deviations and errors in the</w:t>
      </w:r>
      <w:r w:rsidR="008830A9">
        <w:rPr>
          <w:sz w:val="22"/>
          <w:szCs w:val="22"/>
          <w:lang w:val="en-US"/>
        </w:rPr>
        <w:t>ir</w:t>
      </w:r>
      <w:r w:rsidR="00624E47" w:rsidRPr="00624E47">
        <w:rPr>
          <w:sz w:val="22"/>
          <w:szCs w:val="22"/>
          <w:lang w:val="en-US"/>
        </w:rPr>
        <w:t xml:space="preserve"> </w:t>
      </w:r>
      <w:r w:rsidR="00624E47">
        <w:rPr>
          <w:sz w:val="22"/>
          <w:szCs w:val="22"/>
          <w:lang w:val="en-US"/>
        </w:rPr>
        <w:t xml:space="preserve">mutual </w:t>
      </w:r>
      <w:r w:rsidR="00C74AD9">
        <w:rPr>
          <w:sz w:val="22"/>
          <w:szCs w:val="22"/>
          <w:lang w:val="en-US"/>
        </w:rPr>
        <w:t xml:space="preserve">business </w:t>
      </w:r>
      <w:r w:rsidR="00624E47">
        <w:rPr>
          <w:sz w:val="22"/>
          <w:szCs w:val="22"/>
          <w:lang w:val="en-US"/>
        </w:rPr>
        <w:t>population</w:t>
      </w:r>
      <w:r w:rsidR="00624E47" w:rsidRPr="00624E47">
        <w:rPr>
          <w:sz w:val="22"/>
          <w:szCs w:val="22"/>
          <w:lang w:val="en-US"/>
        </w:rPr>
        <w:t xml:space="preserve">. </w:t>
      </w:r>
    </w:p>
    <w:p w:rsidR="00432E5F" w:rsidRDefault="00D958C6" w:rsidP="00003875">
      <w:pPr>
        <w:pStyle w:val="Default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 the past</w:t>
      </w:r>
      <w:r w:rsidR="00962506">
        <w:rPr>
          <w:sz w:val="22"/>
          <w:szCs w:val="22"/>
          <w:lang w:val="en-US"/>
        </w:rPr>
        <w:t xml:space="preserve"> years</w:t>
      </w:r>
      <w:r w:rsidR="00537541">
        <w:rPr>
          <w:sz w:val="22"/>
          <w:szCs w:val="22"/>
          <w:lang w:val="en-US"/>
        </w:rPr>
        <w:t xml:space="preserve">, SN and the NCB </w:t>
      </w:r>
      <w:r w:rsidR="001D1F98">
        <w:rPr>
          <w:sz w:val="22"/>
          <w:szCs w:val="22"/>
          <w:lang w:val="en-US"/>
        </w:rPr>
        <w:t xml:space="preserve">have developed a mutual </w:t>
      </w:r>
      <w:r w:rsidR="00C74AD9">
        <w:rPr>
          <w:sz w:val="22"/>
          <w:szCs w:val="22"/>
          <w:lang w:val="en-US"/>
        </w:rPr>
        <w:t>Memorandum Of Understanding (MOU</w:t>
      </w:r>
      <w:r w:rsidR="001D1F98">
        <w:rPr>
          <w:sz w:val="22"/>
          <w:szCs w:val="22"/>
          <w:lang w:val="en-US"/>
        </w:rPr>
        <w:t xml:space="preserve">) </w:t>
      </w:r>
      <w:r w:rsidR="00C74AD9">
        <w:rPr>
          <w:sz w:val="22"/>
          <w:szCs w:val="22"/>
          <w:lang w:val="en-US"/>
        </w:rPr>
        <w:t>about the</w:t>
      </w:r>
      <w:r w:rsidR="00432E5F">
        <w:rPr>
          <w:sz w:val="22"/>
          <w:szCs w:val="22"/>
          <w:lang w:val="en-US"/>
        </w:rPr>
        <w:t>ir</w:t>
      </w:r>
      <w:r w:rsidR="00C74AD9">
        <w:rPr>
          <w:sz w:val="22"/>
          <w:szCs w:val="22"/>
          <w:lang w:val="en-US"/>
        </w:rPr>
        <w:t xml:space="preserve"> cooperation</w:t>
      </w:r>
      <w:r w:rsidR="004F335F">
        <w:rPr>
          <w:sz w:val="22"/>
          <w:szCs w:val="22"/>
          <w:lang w:val="en-US"/>
        </w:rPr>
        <w:t xml:space="preserve"> to face these challenges</w:t>
      </w:r>
      <w:r w:rsidR="00C74AD9">
        <w:rPr>
          <w:sz w:val="22"/>
          <w:szCs w:val="22"/>
          <w:lang w:val="en-US"/>
        </w:rPr>
        <w:t xml:space="preserve">. This MOU provides information about the governance structure, chain management, the different working groups with mutual participation, detailed information about </w:t>
      </w:r>
      <w:r w:rsidR="00003875">
        <w:rPr>
          <w:sz w:val="22"/>
          <w:szCs w:val="22"/>
          <w:lang w:val="en-US"/>
        </w:rPr>
        <w:t xml:space="preserve">the </w:t>
      </w:r>
      <w:r w:rsidR="00C74AD9">
        <w:rPr>
          <w:sz w:val="22"/>
          <w:szCs w:val="22"/>
          <w:lang w:val="en-US"/>
        </w:rPr>
        <w:t>data exchanged</w:t>
      </w:r>
      <w:r w:rsidR="001D1F98">
        <w:rPr>
          <w:sz w:val="22"/>
          <w:szCs w:val="22"/>
          <w:lang w:val="en-US"/>
        </w:rPr>
        <w:t xml:space="preserve"> between both organizations</w:t>
      </w:r>
      <w:r w:rsidR="00B51EAC">
        <w:rPr>
          <w:sz w:val="22"/>
          <w:szCs w:val="22"/>
          <w:lang w:val="en-US"/>
        </w:rPr>
        <w:t>.</w:t>
      </w:r>
      <w:r w:rsidR="00432E5F">
        <w:rPr>
          <w:sz w:val="22"/>
          <w:szCs w:val="22"/>
          <w:lang w:val="en-US"/>
        </w:rPr>
        <w:t xml:space="preserve"> The aim of the MOU is to optimize statistical processes in the Netherlands and reduce administrative burden</w:t>
      </w:r>
      <w:r w:rsidR="00EB5BDD">
        <w:rPr>
          <w:sz w:val="22"/>
          <w:szCs w:val="22"/>
          <w:lang w:val="en-US"/>
        </w:rPr>
        <w:t xml:space="preserve"> by sharing information on enterprises and legal units</w:t>
      </w:r>
      <w:r w:rsidR="00432E5F">
        <w:rPr>
          <w:sz w:val="22"/>
          <w:szCs w:val="22"/>
          <w:lang w:val="en-US"/>
        </w:rPr>
        <w:t xml:space="preserve">. </w:t>
      </w:r>
    </w:p>
    <w:p w:rsidR="00B51EAC" w:rsidRDefault="00432E5F" w:rsidP="00003875">
      <w:pPr>
        <w:pStyle w:val="Default"/>
        <w:spacing w:before="120" w:after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the alignment of a mutual business population, s</w:t>
      </w:r>
      <w:r w:rsidR="00B51EAC">
        <w:rPr>
          <w:sz w:val="22"/>
          <w:szCs w:val="22"/>
          <w:lang w:val="en-US"/>
        </w:rPr>
        <w:t>pecial working groups</w:t>
      </w:r>
      <w:r w:rsidR="006D536E">
        <w:rPr>
          <w:sz w:val="22"/>
          <w:szCs w:val="22"/>
          <w:lang w:val="en-US"/>
        </w:rPr>
        <w:t xml:space="preserve"> with experts of both organizations</w:t>
      </w:r>
      <w:r w:rsidR="00B51EAC">
        <w:rPr>
          <w:sz w:val="22"/>
          <w:szCs w:val="22"/>
          <w:lang w:val="en-US"/>
        </w:rPr>
        <w:t xml:space="preserve"> were established: </w:t>
      </w:r>
    </w:p>
    <w:p w:rsidR="00B51EAC" w:rsidRDefault="00B51EAC" w:rsidP="00003875">
      <w:pPr>
        <w:pStyle w:val="Default"/>
        <w:numPr>
          <w:ilvl w:val="0"/>
          <w:numId w:val="1"/>
        </w:numPr>
        <w:spacing w:before="120" w:after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 derive the mutual business population of financial holdings in S127 to be able to fulfil the conditions of the ESA2010.</w:t>
      </w:r>
      <w:r w:rsidR="006D536E">
        <w:rPr>
          <w:sz w:val="22"/>
          <w:szCs w:val="22"/>
          <w:lang w:val="en-US"/>
        </w:rPr>
        <w:t xml:space="preserve"> For this purpose, a special decision-tree was developed for large and complex enterprise groups by its members and implemented in the NSBR. At this moment the units and their characteristics assigned by the decision-tree in the NSBR are monitored by the members of this group. </w:t>
      </w:r>
    </w:p>
    <w:p w:rsidR="00B51EAC" w:rsidRDefault="00B51EAC" w:rsidP="00003875">
      <w:pPr>
        <w:pStyle w:val="Default"/>
        <w:numPr>
          <w:ilvl w:val="0"/>
          <w:numId w:val="1"/>
        </w:numPr>
        <w:spacing w:before="120" w:after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 integrate the information about </w:t>
      </w:r>
      <w:r w:rsidR="006D536E">
        <w:rPr>
          <w:sz w:val="22"/>
          <w:szCs w:val="22"/>
          <w:lang w:val="en-US"/>
        </w:rPr>
        <w:t xml:space="preserve">all </w:t>
      </w:r>
      <w:r>
        <w:rPr>
          <w:sz w:val="22"/>
          <w:szCs w:val="22"/>
          <w:lang w:val="en-US"/>
        </w:rPr>
        <w:t xml:space="preserve">financial institutions from the NCB completely in the NSBR. </w:t>
      </w:r>
      <w:r w:rsidR="006D536E">
        <w:rPr>
          <w:sz w:val="22"/>
          <w:szCs w:val="22"/>
          <w:lang w:val="en-US"/>
        </w:rPr>
        <w:t>A special interface was developed by the NCB to monitor the d</w:t>
      </w:r>
      <w:r w:rsidR="006D536E" w:rsidRPr="00624E47">
        <w:rPr>
          <w:sz w:val="22"/>
          <w:szCs w:val="22"/>
          <w:lang w:val="en-US"/>
        </w:rPr>
        <w:t xml:space="preserve">ata </w:t>
      </w:r>
      <w:r w:rsidR="006D536E">
        <w:rPr>
          <w:sz w:val="22"/>
          <w:szCs w:val="22"/>
          <w:lang w:val="en-US"/>
        </w:rPr>
        <w:t>q</w:t>
      </w:r>
      <w:r w:rsidR="006D536E" w:rsidRPr="00624E47">
        <w:rPr>
          <w:sz w:val="22"/>
          <w:szCs w:val="22"/>
          <w:lang w:val="en-US"/>
        </w:rPr>
        <w:t xml:space="preserve">uality </w:t>
      </w:r>
      <w:r w:rsidR="006D536E">
        <w:rPr>
          <w:sz w:val="22"/>
          <w:szCs w:val="22"/>
          <w:lang w:val="en-US"/>
        </w:rPr>
        <w:t>of financial institutions.</w:t>
      </w:r>
    </w:p>
    <w:p w:rsidR="00FD52BA" w:rsidRDefault="00D50F68" w:rsidP="00003875">
      <w:pPr>
        <w:pStyle w:val="Default"/>
        <w:spacing w:before="120" w:after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Another topic is that t</w:t>
      </w:r>
      <w:r w:rsidR="006D536E">
        <w:rPr>
          <w:sz w:val="22"/>
          <w:szCs w:val="22"/>
          <w:lang w:val="en-US"/>
        </w:rPr>
        <w:t xml:space="preserve">he </w:t>
      </w:r>
      <w:r w:rsidR="00914C5F">
        <w:rPr>
          <w:sz w:val="22"/>
          <w:szCs w:val="22"/>
          <w:lang w:val="en-US"/>
        </w:rPr>
        <w:t xml:space="preserve">European Central Bank </w:t>
      </w:r>
      <w:r w:rsidR="00FD52BA">
        <w:rPr>
          <w:sz w:val="22"/>
          <w:szCs w:val="22"/>
          <w:lang w:val="en-US"/>
        </w:rPr>
        <w:t>collects</w:t>
      </w:r>
      <w:r w:rsidR="00914C5F">
        <w:rPr>
          <w:sz w:val="22"/>
          <w:szCs w:val="22"/>
          <w:lang w:val="en-US"/>
        </w:rPr>
        <w:t xml:space="preserve"> granular information about the loans of </w:t>
      </w:r>
      <w:r w:rsidR="00FD52BA">
        <w:rPr>
          <w:sz w:val="22"/>
          <w:szCs w:val="22"/>
          <w:lang w:val="en-US"/>
        </w:rPr>
        <w:t xml:space="preserve">an </w:t>
      </w:r>
      <w:r w:rsidR="00914C5F">
        <w:rPr>
          <w:sz w:val="22"/>
          <w:szCs w:val="22"/>
          <w:lang w:val="en-US"/>
        </w:rPr>
        <w:t>enterprise from financial institutions and the European NCB’s according the ECB-regulation.</w:t>
      </w:r>
      <w:r w:rsidR="00FD52BA">
        <w:rPr>
          <w:sz w:val="22"/>
          <w:szCs w:val="22"/>
          <w:lang w:val="en-US"/>
        </w:rPr>
        <w:t xml:space="preserve"> The data collection is rather extensive, because it is not enough to collect </w:t>
      </w:r>
      <w:r w:rsidR="00D958C6">
        <w:rPr>
          <w:sz w:val="22"/>
          <w:szCs w:val="22"/>
          <w:lang w:val="en-US"/>
        </w:rPr>
        <w:t xml:space="preserve">only </w:t>
      </w:r>
      <w:r w:rsidR="00FD52BA">
        <w:rPr>
          <w:sz w:val="22"/>
          <w:szCs w:val="22"/>
          <w:lang w:val="en-US"/>
        </w:rPr>
        <w:t>detailed information about the loan itself, but also about characteristics of the enterprise</w:t>
      </w:r>
      <w:r w:rsidR="00D958C6">
        <w:rPr>
          <w:sz w:val="22"/>
          <w:szCs w:val="22"/>
          <w:lang w:val="en-US"/>
        </w:rPr>
        <w:t xml:space="preserve"> which receives the loan</w:t>
      </w:r>
      <w:r w:rsidR="00FD52BA">
        <w:rPr>
          <w:sz w:val="22"/>
          <w:szCs w:val="22"/>
          <w:lang w:val="en-US"/>
        </w:rPr>
        <w:t xml:space="preserve">. In this process Statistics Netherlands </w:t>
      </w:r>
      <w:r w:rsidR="00FC40CA">
        <w:rPr>
          <w:sz w:val="22"/>
          <w:szCs w:val="22"/>
          <w:lang w:val="en-US"/>
        </w:rPr>
        <w:t>provides these characteristics to the NCB, to optimize the data collection and lower the administrative burden for statistics in the Netherlands</w:t>
      </w:r>
      <w:r w:rsidR="00FD52BA">
        <w:rPr>
          <w:sz w:val="22"/>
          <w:szCs w:val="22"/>
          <w:lang w:val="en-US"/>
        </w:rPr>
        <w:t xml:space="preserve">. </w:t>
      </w:r>
    </w:p>
    <w:p w:rsidR="001D1F98" w:rsidRDefault="001D1F98" w:rsidP="00003875">
      <w:pPr>
        <w:pStyle w:val="Default"/>
        <w:spacing w:before="120" w:after="12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In this paper we discuss the achievements </w:t>
      </w:r>
      <w:r w:rsidR="00D958C6">
        <w:rPr>
          <w:sz w:val="22"/>
          <w:szCs w:val="22"/>
          <w:lang w:val="en-US"/>
        </w:rPr>
        <w:t xml:space="preserve">over the </w:t>
      </w:r>
      <w:r>
        <w:rPr>
          <w:sz w:val="22"/>
          <w:szCs w:val="22"/>
          <w:lang w:val="en-US"/>
        </w:rPr>
        <w:t>last years.</w:t>
      </w:r>
    </w:p>
    <w:p w:rsidR="00624E47" w:rsidRPr="00FC40CA" w:rsidRDefault="00624E47" w:rsidP="00003875">
      <w:pPr>
        <w:pStyle w:val="Default"/>
        <w:jc w:val="both"/>
        <w:rPr>
          <w:i/>
          <w:lang w:val="en-US"/>
        </w:rPr>
      </w:pPr>
      <w:r w:rsidRPr="00FC40CA">
        <w:rPr>
          <w:i/>
          <w:iCs/>
          <w:sz w:val="22"/>
          <w:szCs w:val="22"/>
          <w:lang w:val="en-US"/>
        </w:rPr>
        <w:t xml:space="preserve">Keywords: </w:t>
      </w:r>
      <w:r w:rsidRPr="00FC40CA">
        <w:rPr>
          <w:sz w:val="22"/>
          <w:szCs w:val="22"/>
          <w:lang w:val="en-US"/>
        </w:rPr>
        <w:t>Business register; National Bank; Data Quality management Process; Challenges</w:t>
      </w:r>
    </w:p>
    <w:sectPr w:rsidR="00624E47" w:rsidRPr="00FC40CA" w:rsidSect="00AC7B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DAB" w:rsidRDefault="00711DAB" w:rsidP="008E4BB5">
      <w:pPr>
        <w:spacing w:after="0" w:line="240" w:lineRule="auto"/>
      </w:pPr>
      <w:r>
        <w:separator/>
      </w:r>
    </w:p>
  </w:endnote>
  <w:endnote w:type="continuationSeparator" w:id="0">
    <w:p w:rsidR="00711DAB" w:rsidRDefault="00711DAB" w:rsidP="008E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DAB" w:rsidRDefault="00711DAB" w:rsidP="008E4BB5">
      <w:pPr>
        <w:spacing w:after="0" w:line="240" w:lineRule="auto"/>
      </w:pPr>
      <w:r>
        <w:separator/>
      </w:r>
    </w:p>
  </w:footnote>
  <w:footnote w:type="continuationSeparator" w:id="0">
    <w:p w:rsidR="00711DAB" w:rsidRDefault="00711DAB" w:rsidP="008E4BB5">
      <w:pPr>
        <w:spacing w:after="0" w:line="240" w:lineRule="auto"/>
      </w:pPr>
      <w:r>
        <w:continuationSeparator/>
      </w:r>
    </w:p>
  </w:footnote>
  <w:footnote w:id="1">
    <w:p w:rsidR="001D1F98" w:rsidRPr="001D1F98" w:rsidRDefault="001D1F98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065AD6">
          <w:rPr>
            <w:rStyle w:val="Hyperlink"/>
          </w:rPr>
          <w:t>https://www.wiesbaden2018.bfs.admin.ch/wp-content/uploads/2018/08/Paper_Coenen.pdf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D7B" w:rsidRDefault="004F7D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B5A30"/>
    <w:multiLevelType w:val="hybridMultilevel"/>
    <w:tmpl w:val="A34AE6D6"/>
    <w:lvl w:ilvl="0" w:tplc="0330C67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removePersonalInformation/>
  <w:removeDateAndTime/>
  <w:proofState w:grammar="clean"/>
  <w:defaultTabStop w:val="72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54"/>
    <w:rsid w:val="00003875"/>
    <w:rsid w:val="00010EB1"/>
    <w:rsid w:val="000D5154"/>
    <w:rsid w:val="001677F2"/>
    <w:rsid w:val="00176817"/>
    <w:rsid w:val="001B39F9"/>
    <w:rsid w:val="001D1F98"/>
    <w:rsid w:val="002506AE"/>
    <w:rsid w:val="00276A9F"/>
    <w:rsid w:val="0028461A"/>
    <w:rsid w:val="002C6BEB"/>
    <w:rsid w:val="002E5213"/>
    <w:rsid w:val="00414963"/>
    <w:rsid w:val="00432E5F"/>
    <w:rsid w:val="00437574"/>
    <w:rsid w:val="00453A48"/>
    <w:rsid w:val="004F335F"/>
    <w:rsid w:val="004F4C23"/>
    <w:rsid w:val="004F7D7B"/>
    <w:rsid w:val="005347A7"/>
    <w:rsid w:val="00537541"/>
    <w:rsid w:val="005869A9"/>
    <w:rsid w:val="00624E47"/>
    <w:rsid w:val="00633179"/>
    <w:rsid w:val="006D536E"/>
    <w:rsid w:val="006E1601"/>
    <w:rsid w:val="00711DAB"/>
    <w:rsid w:val="00730778"/>
    <w:rsid w:val="007B3B32"/>
    <w:rsid w:val="007C4B75"/>
    <w:rsid w:val="007D5C54"/>
    <w:rsid w:val="007D6470"/>
    <w:rsid w:val="007F7D32"/>
    <w:rsid w:val="0080057C"/>
    <w:rsid w:val="0082642C"/>
    <w:rsid w:val="008830A9"/>
    <w:rsid w:val="008E4BB5"/>
    <w:rsid w:val="008E589B"/>
    <w:rsid w:val="008E7144"/>
    <w:rsid w:val="00914C5F"/>
    <w:rsid w:val="00962506"/>
    <w:rsid w:val="009E69E6"/>
    <w:rsid w:val="00AC6DFC"/>
    <w:rsid w:val="00AC717A"/>
    <w:rsid w:val="00AC7BE8"/>
    <w:rsid w:val="00B50DB6"/>
    <w:rsid w:val="00B51EAC"/>
    <w:rsid w:val="00BB54EE"/>
    <w:rsid w:val="00C126AB"/>
    <w:rsid w:val="00C74AD9"/>
    <w:rsid w:val="00D50F68"/>
    <w:rsid w:val="00D61C68"/>
    <w:rsid w:val="00D958C6"/>
    <w:rsid w:val="00DB4788"/>
    <w:rsid w:val="00DD070A"/>
    <w:rsid w:val="00E36FC4"/>
    <w:rsid w:val="00E4415B"/>
    <w:rsid w:val="00E63354"/>
    <w:rsid w:val="00EB5BDD"/>
    <w:rsid w:val="00FC0363"/>
    <w:rsid w:val="00FC13C7"/>
    <w:rsid w:val="00FC40CA"/>
    <w:rsid w:val="00FD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63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33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E4BB5"/>
    <w:pPr>
      <w:tabs>
        <w:tab w:val="center" w:pos="4252"/>
        <w:tab w:val="right" w:pos="8504"/>
      </w:tabs>
      <w:snapToGrid w:val="0"/>
    </w:pPr>
  </w:style>
  <w:style w:type="character" w:customStyle="1" w:styleId="KoptekstChar">
    <w:name w:val="Koptekst Char"/>
    <w:link w:val="Koptekst"/>
    <w:uiPriority w:val="99"/>
    <w:rsid w:val="008E4BB5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E4BB5"/>
    <w:pPr>
      <w:tabs>
        <w:tab w:val="center" w:pos="4252"/>
        <w:tab w:val="right" w:pos="8504"/>
      </w:tabs>
      <w:snapToGrid w:val="0"/>
    </w:pPr>
  </w:style>
  <w:style w:type="character" w:customStyle="1" w:styleId="VoettekstChar">
    <w:name w:val="Voettekst Char"/>
    <w:link w:val="Voettekst"/>
    <w:uiPriority w:val="99"/>
    <w:rsid w:val="008E4BB5"/>
    <w:rPr>
      <w:sz w:val="22"/>
      <w:szCs w:val="22"/>
      <w:lang w:eastAsia="en-US"/>
    </w:rPr>
  </w:style>
  <w:style w:type="paragraph" w:customStyle="1" w:styleId="Default">
    <w:name w:val="Default"/>
    <w:rsid w:val="00624E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D1F98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1D1F98"/>
    <w:rPr>
      <w:lang w:val="en-US" w:eastAsia="en-US"/>
    </w:rPr>
  </w:style>
  <w:style w:type="character" w:styleId="Voetnootmarkering">
    <w:name w:val="footnote reference"/>
    <w:uiPriority w:val="99"/>
    <w:semiHidden/>
    <w:unhideWhenUsed/>
    <w:rsid w:val="001D1F98"/>
    <w:rPr>
      <w:vertAlign w:val="superscript"/>
    </w:rPr>
  </w:style>
  <w:style w:type="character" w:styleId="Hyperlink">
    <w:name w:val="Hyperlink"/>
    <w:uiPriority w:val="99"/>
    <w:unhideWhenUsed/>
    <w:rsid w:val="001D1F9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esbaden2018.bfs.admin.ch/wp-content/uploads/2018/08/Paper_Coenen.pdf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BA45-F5B4-474A-A057-F5997471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2495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2943</CharactersWithSpaces>
  <SharedDoc>false</SharedDoc>
  <HLinks>
    <vt:vector size="6" baseType="variant">
      <vt:variant>
        <vt:i4>1638437</vt:i4>
      </vt:variant>
      <vt:variant>
        <vt:i4>0</vt:i4>
      </vt:variant>
      <vt:variant>
        <vt:i4>0</vt:i4>
      </vt:variant>
      <vt:variant>
        <vt:i4>5</vt:i4>
      </vt:variant>
      <vt:variant>
        <vt:lpwstr>https://www.wiesbaden2018.bfs.admin.ch/wp-content/uploads/2018/08/Paper_Coenen.pdf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2023-09-20T17:04:00Z</dcterms:created>
  <dcterms:modified xsi:type="dcterms:W3CDTF">2023-09-20T17:04:00Z</dcterms:modified>
</cp:coreProperties>
</file>