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Style w:val="TableGrid0"/>
        <w:tblW w:w="9491" w:type="dxa"/>
        <w:tblInd w:w="-46" w:type="dxa"/>
        <w:tblCellMar>
          <w:top w:w="103" w:type="dxa"/>
          <w:left w:w="115" w:type="dxa"/>
          <w:bottom w:w="147" w:type="dxa"/>
          <w:right w:w="34" w:type="dxa"/>
        </w:tblCellMar>
        <w:tblLook w:val="04A0" w:firstRow="1" w:lastRow="0" w:firstColumn="1" w:lastColumn="0" w:noHBand="0" w:noVBand="1"/>
      </w:tblPr>
      <w:tblGrid>
        <w:gridCol w:w="9491"/>
      </w:tblGrid>
      <w:tr w:rsidR="00E216B4" w:rsidTr="6E27488C" w14:paraId="4C6CD250" w14:textId="77777777">
        <w:trPr>
          <w:trHeight w:val="944"/>
        </w:trPr>
        <w:tc>
          <w:tcPr>
            <w:tcW w:w="9491" w:type="dxa"/>
            <w:tcBorders>
              <w:top w:val="single" w:color="000000" w:themeColor="text1" w:sz="16" w:space="0"/>
              <w:left w:val="single" w:color="000000" w:themeColor="text1" w:sz="16" w:space="0"/>
              <w:bottom w:val="single" w:color="000000" w:themeColor="text1" w:sz="16" w:space="0"/>
              <w:right w:val="single" w:color="000000" w:themeColor="text1" w:sz="16" w:space="0"/>
            </w:tcBorders>
            <w:tcMar/>
            <w:vAlign w:val="center"/>
          </w:tcPr>
          <w:p w:rsidRPr="00E216B4" w:rsidR="00E216B4" w:rsidP="008526FF" w:rsidRDefault="00E216B4" w14:paraId="1FDB3DCC" w14:textId="6A3D3087">
            <w:pPr>
              <w:spacing w:after="57"/>
              <w:ind w:right="116"/>
              <w:jc w:val="center"/>
              <w:rPr>
                <w:b/>
                <w:bCs/>
                <w:sz w:val="24"/>
                <w:szCs w:val="24"/>
              </w:rPr>
            </w:pPr>
            <w:r w:rsidRPr="00E216B4">
              <w:rPr>
                <w:rFonts w:ascii="Calibri" w:hAnsi="Calibri" w:eastAsia="Calibri" w:cs="Calibri"/>
                <w:b/>
                <w:bCs/>
                <w:sz w:val="24"/>
                <w:szCs w:val="24"/>
              </w:rPr>
              <w:t>28</w:t>
            </w:r>
            <w:r w:rsidRPr="00E216B4">
              <w:rPr>
                <w:rFonts w:ascii="Calibri" w:hAnsi="Calibri" w:eastAsia="Calibri" w:cs="Calibri"/>
                <w:b/>
                <w:bCs/>
                <w:sz w:val="24"/>
                <w:szCs w:val="24"/>
                <w:vertAlign w:val="superscript"/>
              </w:rPr>
              <w:t>th</w:t>
            </w:r>
            <w:r w:rsidRPr="00E216B4">
              <w:rPr>
                <w:rFonts w:ascii="Calibri" w:hAnsi="Calibri" w:eastAsia="Calibri" w:cs="Calibri"/>
                <w:b/>
                <w:bCs/>
                <w:sz w:val="24"/>
                <w:szCs w:val="24"/>
              </w:rPr>
              <w:t xml:space="preserve"> Meeting of the Wiesbaden Group on Business Registers </w:t>
            </w:r>
          </w:p>
          <w:p w:rsidR="00E216B4" w:rsidP="008526FF" w:rsidRDefault="00E216B4" w14:paraId="38DE8A4F" w14:textId="77777777">
            <w:pPr>
              <w:ind w:right="116"/>
              <w:jc w:val="center"/>
            </w:pPr>
            <w:r w:rsidRPr="00E216B4">
              <w:rPr>
                <w:rFonts w:ascii="Calibri" w:hAnsi="Calibri" w:eastAsia="Calibri" w:cs="Calibri"/>
                <w:sz w:val="24"/>
                <w:szCs w:val="24"/>
              </w:rPr>
              <w:t>- International Roundtable on Business Survey Frames</w:t>
            </w:r>
            <w:r>
              <w:rPr>
                <w:rFonts w:ascii="Calibri" w:hAnsi="Calibri" w:eastAsia="Calibri" w:cs="Calibri"/>
              </w:rPr>
              <w:t xml:space="preserve"> </w:t>
            </w:r>
          </w:p>
        </w:tc>
      </w:tr>
      <w:tr w:rsidR="00E216B4" w:rsidTr="6E27488C" w14:paraId="75F77741" w14:textId="77777777">
        <w:trPr>
          <w:trHeight w:val="2189"/>
        </w:trPr>
        <w:tc>
          <w:tcPr>
            <w:tcW w:w="9491" w:type="dxa"/>
            <w:tcBorders>
              <w:top w:val="single" w:color="000000" w:themeColor="text1" w:sz="16" w:space="0"/>
              <w:left w:val="single" w:color="000000" w:themeColor="text1" w:sz="16" w:space="0"/>
              <w:bottom w:val="single" w:color="000000" w:themeColor="text1" w:sz="16" w:space="0"/>
              <w:right w:val="single" w:color="000000" w:themeColor="text1" w:sz="16" w:space="0"/>
            </w:tcBorders>
            <w:tcMar/>
          </w:tcPr>
          <w:p w:rsidRPr="00E216B4" w:rsidR="00E216B4" w:rsidP="008526FF" w:rsidRDefault="00E216B4" w14:paraId="05CD2A32" w14:textId="54591E05">
            <w:pPr>
              <w:spacing w:after="215"/>
              <w:ind w:right="117"/>
              <w:jc w:val="center"/>
              <w:rPr>
                <w:b/>
                <w:bCs/>
                <w:sz w:val="24"/>
                <w:szCs w:val="24"/>
              </w:rPr>
            </w:pPr>
            <w:r w:rsidRPr="00E216B4">
              <w:rPr>
                <w:rFonts w:ascii="Calibri" w:hAnsi="Calibri" w:eastAsia="Calibri" w:cs="Calibri"/>
                <w:b/>
                <w:bCs/>
                <w:sz w:val="24"/>
                <w:szCs w:val="24"/>
              </w:rPr>
              <w:t xml:space="preserve">The Hague, The Netherlands, 2 – 6 October 2023 </w:t>
            </w:r>
          </w:p>
          <w:p w:rsidRPr="00F80018" w:rsidR="00F80018" w:rsidP="00F80018" w:rsidRDefault="00F80018" w14:paraId="00D32BFD" w14:textId="77777777">
            <w:pPr>
              <w:spacing w:after="21"/>
              <w:ind w:right="49"/>
              <w:jc w:val="right"/>
              <w:rPr>
                <w:rFonts w:ascii="Calibri" w:hAnsi="Calibri" w:eastAsia="Calibri" w:cs="Calibri"/>
                <w:i/>
                <w:sz w:val="24"/>
                <w:szCs w:val="24"/>
              </w:rPr>
            </w:pPr>
            <w:r w:rsidRPr="00F80018">
              <w:rPr>
                <w:rFonts w:ascii="Calibri" w:hAnsi="Calibri" w:eastAsia="Calibri" w:cs="Calibri"/>
                <w:i/>
                <w:sz w:val="24"/>
                <w:szCs w:val="24"/>
              </w:rPr>
              <w:t>Graham Pilgrim</w:t>
            </w:r>
          </w:p>
          <w:p w:rsidRPr="00F80018" w:rsidR="00F80018" w:rsidP="00F80018" w:rsidRDefault="00F80018" w14:paraId="404B3F9C" w14:textId="77777777">
            <w:pPr>
              <w:spacing w:after="21"/>
              <w:ind w:right="49"/>
              <w:jc w:val="right"/>
              <w:rPr>
                <w:rFonts w:ascii="Calibri" w:hAnsi="Calibri" w:eastAsia="Calibri" w:cs="Calibri"/>
                <w:i/>
                <w:sz w:val="24"/>
                <w:szCs w:val="24"/>
              </w:rPr>
            </w:pPr>
            <w:r w:rsidRPr="00F80018">
              <w:rPr>
                <w:rFonts w:ascii="Calibri" w:hAnsi="Calibri" w:eastAsia="Calibri" w:cs="Calibri"/>
                <w:i/>
                <w:sz w:val="24"/>
                <w:szCs w:val="24"/>
              </w:rPr>
              <w:t>OECD</w:t>
            </w:r>
          </w:p>
          <w:p w:rsidRPr="00F80018" w:rsidR="00F80018" w:rsidP="00F80018" w:rsidRDefault="00F80018" w14:paraId="60CA4ACA" w14:textId="75F18279">
            <w:pPr>
              <w:spacing w:after="21"/>
              <w:ind w:right="49"/>
              <w:jc w:val="right"/>
              <w:rPr>
                <w:rFonts w:ascii="Calibri" w:hAnsi="Calibri" w:eastAsia="Calibri" w:cs="Calibri"/>
                <w:i/>
                <w:sz w:val="24"/>
                <w:szCs w:val="24"/>
              </w:rPr>
            </w:pPr>
          </w:p>
          <w:p w:rsidRPr="00E216B4" w:rsidR="00E216B4" w:rsidP="008526FF" w:rsidRDefault="00E216B4" w14:paraId="794DE996" w14:textId="4D274754">
            <w:pPr>
              <w:spacing w:after="21"/>
              <w:ind w:right="49"/>
              <w:jc w:val="right"/>
              <w:rPr>
                <w:rFonts w:ascii="Calibri" w:hAnsi="Calibri" w:eastAsia="Calibri" w:cs="Calibri"/>
                <w:i/>
                <w:sz w:val="24"/>
                <w:szCs w:val="24"/>
              </w:rPr>
            </w:pPr>
            <w:r w:rsidRPr="00E216B4">
              <w:rPr>
                <w:rFonts w:ascii="Calibri" w:hAnsi="Calibri" w:eastAsia="Calibri" w:cs="Calibri"/>
                <w:i/>
                <w:sz w:val="24"/>
                <w:szCs w:val="24"/>
              </w:rPr>
              <w:t>Shirly Ang</w:t>
            </w:r>
          </w:p>
          <w:p w:rsidRPr="00F80018" w:rsidR="00B73856" w:rsidP="008526FF" w:rsidRDefault="00E216B4" w14:paraId="153C4DEA" w14:textId="77777777">
            <w:pPr>
              <w:spacing w:after="21"/>
              <w:ind w:right="49"/>
              <w:jc w:val="right"/>
              <w:rPr>
                <w:rFonts w:ascii="Calibri" w:hAnsi="Calibri" w:eastAsia="Calibri" w:cs="Calibri"/>
                <w:i/>
                <w:sz w:val="24"/>
                <w:szCs w:val="24"/>
              </w:rPr>
            </w:pPr>
            <w:r w:rsidRPr="00F80018">
              <w:rPr>
                <w:rFonts w:ascii="Calibri" w:hAnsi="Calibri" w:eastAsia="Calibri" w:cs="Calibri"/>
                <w:i/>
                <w:sz w:val="24"/>
                <w:szCs w:val="24"/>
              </w:rPr>
              <w:t>UN Statistics Division</w:t>
            </w:r>
          </w:p>
          <w:p w:rsidRPr="00F80018" w:rsidR="00FE781A" w:rsidP="0043138A" w:rsidRDefault="00FE781A" w14:paraId="72214ACA" w14:textId="77777777">
            <w:pPr>
              <w:spacing w:after="21"/>
              <w:ind w:right="49"/>
              <w:jc w:val="right"/>
              <w:rPr>
                <w:rFonts w:ascii="Calibri" w:hAnsi="Calibri" w:eastAsia="Calibri" w:cs="Calibri"/>
                <w:i/>
                <w:sz w:val="24"/>
                <w:szCs w:val="24"/>
              </w:rPr>
            </w:pPr>
          </w:p>
          <w:p w:rsidRPr="00E216B4" w:rsidR="00E216B4" w:rsidP="008526FF" w:rsidRDefault="00E216B4" w14:paraId="403F3141" w14:textId="2FE9A08E">
            <w:pPr>
              <w:spacing w:after="218"/>
              <w:ind w:right="48"/>
              <w:jc w:val="right"/>
              <w:rPr>
                <w:sz w:val="24"/>
                <w:szCs w:val="24"/>
              </w:rPr>
            </w:pPr>
            <w:r w:rsidRPr="2E7B13E2" w:rsidR="00E216B4">
              <w:rPr>
                <w:rFonts w:ascii="Calibri" w:hAnsi="Calibri" w:eastAsia="Calibri" w:cs="Calibri"/>
                <w:i w:val="1"/>
                <w:iCs w:val="1"/>
                <w:sz w:val="24"/>
                <w:szCs w:val="24"/>
              </w:rPr>
              <w:t xml:space="preserve">Session No. </w:t>
            </w:r>
            <w:r w:rsidRPr="2E7B13E2" w:rsidR="498B4F5F">
              <w:rPr>
                <w:rFonts w:ascii="Calibri" w:hAnsi="Calibri" w:eastAsia="Calibri" w:cs="Calibri"/>
                <w:i w:val="1"/>
                <w:iCs w:val="1"/>
                <w:sz w:val="24"/>
                <w:szCs w:val="24"/>
              </w:rPr>
              <w:t>2</w:t>
            </w:r>
            <w:r w:rsidRPr="2E7B13E2" w:rsidR="00E216B4">
              <w:rPr>
                <w:rFonts w:ascii="Calibri" w:hAnsi="Calibri" w:eastAsia="Calibri" w:cs="Calibri"/>
                <w:sz w:val="24"/>
                <w:szCs w:val="24"/>
              </w:rPr>
              <w:t xml:space="preserve"> </w:t>
            </w:r>
          </w:p>
          <w:p w:rsidRPr="00E216B4" w:rsidR="00E216B4" w:rsidP="2E7B13E2" w:rsidRDefault="00E216B4" w14:paraId="53516E0B" w14:textId="217DA89D">
            <w:pPr>
              <w:ind w:right="118"/>
              <w:jc w:val="center"/>
              <w:rPr>
                <w:rFonts w:ascii="Calibri" w:hAnsi="Calibri" w:eastAsia="Calibri" w:cs="Calibri"/>
                <w:sz w:val="24"/>
                <w:szCs w:val="24"/>
              </w:rPr>
            </w:pPr>
            <w:r w:rsidRPr="6E27488C" w:rsidR="1A009A9F">
              <w:rPr>
                <w:rFonts w:ascii="Calibri" w:hAnsi="Calibri" w:eastAsia="Calibri" w:cs="Calibri"/>
                <w:sz w:val="24"/>
                <w:szCs w:val="24"/>
              </w:rPr>
              <w:t xml:space="preserve"> Profiling complex Statistical Units (SUs)</w:t>
            </w:r>
          </w:p>
        </w:tc>
      </w:tr>
      <w:tr w:rsidR="00E216B4" w:rsidTr="6E27488C" w14:paraId="6F02EBE4" w14:textId="77777777">
        <w:trPr>
          <w:trHeight w:val="738"/>
        </w:trPr>
        <w:tc>
          <w:tcPr>
            <w:tcW w:w="9491" w:type="dxa"/>
            <w:tcBorders>
              <w:top w:val="single" w:color="000000" w:themeColor="text1" w:sz="16" w:space="0"/>
              <w:left w:val="single" w:color="000000" w:themeColor="text1" w:sz="16" w:space="0"/>
              <w:bottom w:val="single" w:color="000000" w:themeColor="text1" w:sz="16" w:space="0"/>
              <w:right w:val="single" w:color="000000" w:themeColor="text1" w:sz="16" w:space="0"/>
            </w:tcBorders>
            <w:tcMar/>
            <w:vAlign w:val="center"/>
          </w:tcPr>
          <w:p w:rsidRPr="00E216B4" w:rsidR="00E216B4" w:rsidP="00E216B4" w:rsidRDefault="00E216B4" w14:paraId="31A701F5" w14:textId="16F79980">
            <w:pPr>
              <w:jc w:val="center"/>
              <w:rPr>
                <w:b/>
                <w:bCs/>
                <w:sz w:val="24"/>
                <w:szCs w:val="24"/>
              </w:rPr>
            </w:pPr>
            <w:r w:rsidRPr="00E216B4">
              <w:rPr>
                <w:b/>
                <w:bCs/>
                <w:sz w:val="24"/>
                <w:szCs w:val="24"/>
              </w:rPr>
              <w:t>OECD-UNSD MULTINATIONAL ENTERPRISE INFORMATION PLATFORM</w:t>
            </w:r>
          </w:p>
        </w:tc>
      </w:tr>
    </w:tbl>
    <w:p w:rsidR="00E216B4" w:rsidP="00E216B4" w:rsidRDefault="00E216B4" w14:paraId="433970C3" w14:textId="77777777">
      <w:pPr>
        <w:rPr>
          <w:b/>
          <w:bCs/>
        </w:rPr>
      </w:pPr>
    </w:p>
    <w:p w:rsidR="00E216B4" w:rsidP="00E216B4" w:rsidRDefault="00E216B4" w14:paraId="3E7EC2F3" w14:textId="3228895B">
      <w:pPr>
        <w:rPr>
          <w:b/>
          <w:bCs/>
        </w:rPr>
      </w:pPr>
      <w:r>
        <w:rPr>
          <w:b/>
          <w:bCs/>
        </w:rPr>
        <w:t>Abstract</w:t>
      </w:r>
    </w:p>
    <w:p w:rsidR="00E216B4" w:rsidP="00A40B45" w:rsidRDefault="00E216B4" w14:paraId="111FA889" w14:textId="77777777">
      <w:pPr>
        <w:jc w:val="both"/>
      </w:pPr>
      <w:r>
        <w:t xml:space="preserve">OECD and UNSD have developed a new MNE profiling tool, the Multinational Enterprise Information Platform (MEIP), with the first release in February 2023 and annual updates envisaged for the future. It has relied on public sources and exploited a range of techniques, including but not limited to </w:t>
      </w:r>
      <w:proofErr w:type="spellStart"/>
      <w:r>
        <w:t>webscrapping</w:t>
      </w:r>
      <w:proofErr w:type="spellEnd"/>
      <w:r>
        <w:t xml:space="preserve"> and text mining.</w:t>
      </w:r>
    </w:p>
    <w:p w:rsidR="00E216B4" w:rsidP="00A40B45" w:rsidRDefault="00E216B4" w14:paraId="0F040B98" w14:textId="449D82DE">
      <w:pPr>
        <w:jc w:val="both"/>
      </w:pPr>
      <w:r>
        <w:t>Primarily, the tool provides a framework for determining an MNEs’ subsidiaries (including jurisdiction, hierarchy</w:t>
      </w:r>
      <w:r w:rsidR="00955D8B">
        <w:t>,</w:t>
      </w:r>
      <w:r>
        <w:t xml:space="preserve"> and addresses – with links to other corporate databases including OpenCorporates, GLEIF</w:t>
      </w:r>
      <w:r w:rsidR="00955D8B">
        <w:t>,</w:t>
      </w:r>
      <w:r>
        <w:t xml:space="preserve"> and </w:t>
      </w:r>
      <w:proofErr w:type="spellStart"/>
      <w:r>
        <w:t>PermID</w:t>
      </w:r>
      <w:proofErr w:type="spellEnd"/>
      <w:r>
        <w:t xml:space="preserve">). This is complemented </w:t>
      </w:r>
      <w:r w:rsidR="00955D8B">
        <w:t xml:space="preserve">by </w:t>
      </w:r>
      <w:r>
        <w:t>new digital sources, such as websites and social media profiles.</w:t>
      </w:r>
    </w:p>
    <w:p w:rsidRPr="00E216B4" w:rsidR="00E216B4" w:rsidP="00A40B45" w:rsidRDefault="00E216B4" w14:paraId="582A44E5" w14:textId="38AB99BB">
      <w:pPr>
        <w:jc w:val="both"/>
      </w:pPr>
      <w:r>
        <w:t>In the longer term, the platform will aim to join information from a global news initiative, to provide a near real-time news information system for the largest companies, with a particular aim to highlight restructuring, investment, financial difficulties, and Mergers and Acquisitions activity.</w:t>
      </w:r>
    </w:p>
    <w:p w:rsidR="00E216B4" w:rsidP="00A40B45" w:rsidRDefault="00E216B4" w14:paraId="7B0632D7" w14:textId="77777777">
      <w:pPr>
        <w:jc w:val="both"/>
        <w:rPr>
          <w:rFonts w:cstheme="minorHAnsi"/>
          <w:b/>
          <w:bCs/>
          <w:lang w:val="en-GB" w:eastAsia="zh-CN"/>
        </w:rPr>
      </w:pPr>
      <w:r>
        <w:rPr>
          <w:rFonts w:cstheme="minorHAnsi"/>
        </w:rPr>
        <w:br w:type="page"/>
      </w:r>
    </w:p>
    <w:p w:rsidRPr="00175AAD" w:rsidR="00E216B4" w:rsidP="00175AAD" w:rsidRDefault="00E216B4" w14:paraId="643D2E56" w14:textId="37E58403">
      <w:pPr>
        <w:spacing w:after="0" w:line="240" w:lineRule="auto"/>
        <w:rPr>
          <w:b/>
          <w:bCs/>
          <w:sz w:val="24"/>
          <w:szCs w:val="24"/>
        </w:rPr>
      </w:pPr>
      <w:r w:rsidRPr="00175AAD">
        <w:rPr>
          <w:b/>
          <w:bCs/>
          <w:sz w:val="24"/>
          <w:szCs w:val="24"/>
        </w:rPr>
        <w:lastRenderedPageBreak/>
        <w:t>Introduction</w:t>
      </w:r>
    </w:p>
    <w:p w:rsidR="002E0F74" w:rsidP="00175AAD" w:rsidRDefault="002E0F74" w14:paraId="1B63B3B9" w14:textId="77777777">
      <w:pPr>
        <w:spacing w:after="0" w:line="240" w:lineRule="auto"/>
        <w:jc w:val="both"/>
        <w:rPr>
          <w:rFonts w:cstheme="minorHAnsi"/>
        </w:rPr>
      </w:pPr>
    </w:p>
    <w:p w:rsidRPr="00B22AF9" w:rsidR="00861AFF" w:rsidP="00175AAD" w:rsidRDefault="00173CD9" w14:paraId="059F5D88" w14:textId="3A09B6F7">
      <w:pPr>
        <w:spacing w:after="0" w:line="240" w:lineRule="auto"/>
        <w:jc w:val="both"/>
        <w:rPr>
          <w:rFonts w:cstheme="minorHAnsi"/>
        </w:rPr>
      </w:pPr>
      <w:r w:rsidRPr="00B22AF9">
        <w:rPr>
          <w:rFonts w:cstheme="minorHAnsi"/>
        </w:rPr>
        <w:t>Over the past few decades</w:t>
      </w:r>
      <w:r w:rsidRPr="00B22AF9" w:rsidR="008A4AA7">
        <w:rPr>
          <w:rFonts w:cstheme="minorHAnsi"/>
        </w:rPr>
        <w:t xml:space="preserve">, Multinational Enterprises (MNEs) have played a leading role in </w:t>
      </w:r>
      <w:r w:rsidRPr="00B22AF9" w:rsidR="00841FE6">
        <w:rPr>
          <w:rFonts w:cstheme="minorHAnsi"/>
        </w:rPr>
        <w:t xml:space="preserve">driving transformative changes </w:t>
      </w:r>
      <w:r w:rsidRPr="00B22AF9" w:rsidR="008A4AA7">
        <w:rPr>
          <w:rFonts w:cstheme="minorHAnsi"/>
        </w:rPr>
        <w:t>within the global economy</w:t>
      </w:r>
      <w:r w:rsidRPr="00B22AF9" w:rsidR="001A6DFD">
        <w:rPr>
          <w:rFonts w:cstheme="minorHAnsi"/>
        </w:rPr>
        <w:t xml:space="preserve">. This </w:t>
      </w:r>
      <w:r w:rsidRPr="00B22AF9" w:rsidR="00FD3276">
        <w:rPr>
          <w:rFonts w:cstheme="minorHAnsi"/>
        </w:rPr>
        <w:t xml:space="preserve">role </w:t>
      </w:r>
      <w:r w:rsidRPr="00B22AF9" w:rsidR="00666202">
        <w:rPr>
          <w:rFonts w:cstheme="minorHAnsi"/>
        </w:rPr>
        <w:t>has been fueled</w:t>
      </w:r>
      <w:r w:rsidRPr="00B22AF9" w:rsidR="004449BC">
        <w:rPr>
          <w:rFonts w:cstheme="minorHAnsi"/>
        </w:rPr>
        <w:t xml:space="preserve"> by </w:t>
      </w:r>
      <w:r w:rsidR="001262AB">
        <w:rPr>
          <w:rFonts w:cstheme="minorHAnsi"/>
        </w:rPr>
        <w:t xml:space="preserve">the </w:t>
      </w:r>
      <w:r w:rsidRPr="00B22AF9" w:rsidR="004449BC">
        <w:rPr>
          <w:rFonts w:cstheme="minorHAnsi"/>
        </w:rPr>
        <w:t xml:space="preserve">decreasing transportation and communication costs, </w:t>
      </w:r>
      <w:r w:rsidRPr="00B22AF9" w:rsidR="00B7238D">
        <w:rPr>
          <w:rFonts w:cstheme="minorHAnsi"/>
        </w:rPr>
        <w:t xml:space="preserve">advancement in technologies facilitating more complex operations, and </w:t>
      </w:r>
      <w:r w:rsidRPr="00B22AF9" w:rsidR="001A6DFD">
        <w:rPr>
          <w:rFonts w:cstheme="minorHAnsi"/>
        </w:rPr>
        <w:t>easing of</w:t>
      </w:r>
      <w:r w:rsidRPr="00B22AF9" w:rsidR="00CE7C8A">
        <w:rPr>
          <w:rFonts w:cstheme="minorHAnsi"/>
        </w:rPr>
        <w:t xml:space="preserve"> trade and investment barriers.</w:t>
      </w:r>
      <w:r w:rsidRPr="00B22AF9" w:rsidR="00FF23A8">
        <w:rPr>
          <w:rFonts w:cstheme="minorHAnsi"/>
        </w:rPr>
        <w:t xml:space="preserve"> Understanding the </w:t>
      </w:r>
      <w:r w:rsidRPr="00B22AF9" w:rsidR="001C34C2">
        <w:rPr>
          <w:rFonts w:cstheme="minorHAnsi"/>
        </w:rPr>
        <w:t>structure</w:t>
      </w:r>
      <w:r w:rsidRPr="00B22AF9" w:rsidR="00A506A2">
        <w:rPr>
          <w:rFonts w:cstheme="minorHAnsi"/>
        </w:rPr>
        <w:t xml:space="preserve"> and</w:t>
      </w:r>
      <w:r w:rsidRPr="00B22AF9" w:rsidR="001C34C2">
        <w:rPr>
          <w:rFonts w:cstheme="minorHAnsi"/>
        </w:rPr>
        <w:t xml:space="preserve"> governance of MNE</w:t>
      </w:r>
      <w:r w:rsidRPr="00B22AF9" w:rsidR="00A506A2">
        <w:rPr>
          <w:rFonts w:cstheme="minorHAnsi"/>
        </w:rPr>
        <w:t>s</w:t>
      </w:r>
      <w:r w:rsidRPr="00B22AF9" w:rsidR="001C34C2">
        <w:rPr>
          <w:rFonts w:cstheme="minorHAnsi"/>
        </w:rPr>
        <w:t xml:space="preserve"> is crucially important for the analysis of globalization and global value chains (GVCs).</w:t>
      </w:r>
    </w:p>
    <w:p w:rsidR="002F532A" w:rsidP="00175AAD" w:rsidRDefault="002F532A" w14:paraId="29B6E4DF" w14:textId="77777777">
      <w:pPr>
        <w:spacing w:after="0" w:line="240" w:lineRule="auto"/>
        <w:jc w:val="both"/>
        <w:rPr>
          <w:rFonts w:cstheme="minorHAnsi"/>
        </w:rPr>
      </w:pPr>
    </w:p>
    <w:p w:rsidR="00A506A2" w:rsidP="00175AAD" w:rsidRDefault="00A506A2" w14:paraId="0D2B9A09" w14:textId="18751E06">
      <w:pPr>
        <w:spacing w:after="0" w:line="240" w:lineRule="auto"/>
        <w:jc w:val="both"/>
        <w:rPr>
          <w:rFonts w:cstheme="minorHAnsi"/>
        </w:rPr>
      </w:pPr>
      <w:r w:rsidRPr="00B22AF9">
        <w:rPr>
          <w:rFonts w:cstheme="minorHAnsi"/>
        </w:rPr>
        <w:t>Several initiative</w:t>
      </w:r>
      <w:r w:rsidRPr="00B22AF9" w:rsidR="005312B0">
        <w:rPr>
          <w:rFonts w:cstheme="minorHAnsi"/>
        </w:rPr>
        <w:t xml:space="preserve">s took place to develop </w:t>
      </w:r>
      <w:r w:rsidRPr="00B22AF9" w:rsidR="00042D0C">
        <w:rPr>
          <w:rFonts w:cstheme="minorHAnsi"/>
        </w:rPr>
        <w:t xml:space="preserve">registers </w:t>
      </w:r>
      <w:r w:rsidRPr="00B22AF9" w:rsidR="00B100C2">
        <w:rPr>
          <w:rFonts w:cstheme="minorHAnsi"/>
        </w:rPr>
        <w:t>of multinationals and their affiliates.</w:t>
      </w:r>
      <w:r w:rsidRPr="00B22AF9" w:rsidR="00D07D2A">
        <w:rPr>
          <w:rFonts w:cstheme="minorHAnsi"/>
        </w:rPr>
        <w:t xml:space="preserve"> </w:t>
      </w:r>
      <w:r w:rsidRPr="00B22AF9" w:rsidR="00B100C2">
        <w:rPr>
          <w:rFonts w:cstheme="minorHAnsi"/>
        </w:rPr>
        <w:t xml:space="preserve">The </w:t>
      </w:r>
      <w:proofErr w:type="spellStart"/>
      <w:r w:rsidRPr="00B22AF9" w:rsidR="00B100C2">
        <w:rPr>
          <w:rFonts w:cstheme="minorHAnsi"/>
        </w:rPr>
        <w:t>EuroGroups</w:t>
      </w:r>
      <w:proofErr w:type="spellEnd"/>
      <w:r w:rsidRPr="00B22AF9" w:rsidR="00B100C2">
        <w:rPr>
          <w:rFonts w:cstheme="minorHAnsi"/>
        </w:rPr>
        <w:t xml:space="preserve"> Register (EGR)</w:t>
      </w:r>
      <w:r w:rsidRPr="00B22AF9" w:rsidR="003D22F7">
        <w:rPr>
          <w:rFonts w:cstheme="minorHAnsi"/>
        </w:rPr>
        <w:t>,</w:t>
      </w:r>
      <w:r w:rsidRPr="00B22AF9" w:rsidR="00470162">
        <w:rPr>
          <w:rFonts w:cstheme="minorHAnsi"/>
        </w:rPr>
        <w:t xml:space="preserve"> </w:t>
      </w:r>
      <w:r w:rsidR="001262AB">
        <w:rPr>
          <w:rFonts w:cstheme="minorHAnsi"/>
        </w:rPr>
        <w:t>established</w:t>
      </w:r>
      <w:r w:rsidRPr="00B22AF9" w:rsidR="003D22F7">
        <w:rPr>
          <w:rFonts w:cstheme="minorHAnsi"/>
        </w:rPr>
        <w:t xml:space="preserve"> by Eurostat </w:t>
      </w:r>
      <w:r w:rsidR="00EF3272">
        <w:rPr>
          <w:rFonts w:cstheme="minorHAnsi"/>
        </w:rPr>
        <w:t>in</w:t>
      </w:r>
      <w:r w:rsidRPr="00B22AF9" w:rsidR="003D22F7">
        <w:rPr>
          <w:rFonts w:cstheme="minorHAnsi"/>
        </w:rPr>
        <w:t xml:space="preserve"> 2008, </w:t>
      </w:r>
      <w:r w:rsidRPr="00B22AF9" w:rsidR="00B100C2">
        <w:rPr>
          <w:rFonts w:cstheme="minorHAnsi"/>
        </w:rPr>
        <w:t xml:space="preserve">is a statistical register of Eurostat and national statistical authorities of the European Union (EU) and European Free Trade Association (EFTA) countries. The EGR covers the population and units of multinational enterprise groups operating in the EU and EFTA countries. </w:t>
      </w:r>
      <w:r w:rsidRPr="00B22AF9" w:rsidR="004434EC">
        <w:rPr>
          <w:rFonts w:cstheme="minorHAnsi"/>
        </w:rPr>
        <w:t xml:space="preserve"> </w:t>
      </w:r>
      <w:r w:rsidRPr="00B22AF9" w:rsidR="00A562D3">
        <w:rPr>
          <w:rFonts w:cstheme="minorHAnsi"/>
        </w:rPr>
        <w:t xml:space="preserve">The EGR </w:t>
      </w:r>
      <w:r w:rsidRPr="00B22AF9" w:rsidR="004434EC">
        <w:rPr>
          <w:rFonts w:cstheme="minorHAnsi"/>
        </w:rPr>
        <w:t xml:space="preserve">is updated </w:t>
      </w:r>
      <w:r w:rsidRPr="00B22AF9" w:rsidR="00A562D3">
        <w:rPr>
          <w:rFonts w:cstheme="minorHAnsi"/>
        </w:rPr>
        <w:t>on a</w:t>
      </w:r>
      <w:r w:rsidR="00400FD0">
        <w:rPr>
          <w:rFonts w:cstheme="minorHAnsi"/>
        </w:rPr>
        <w:t xml:space="preserve">n annual </w:t>
      </w:r>
      <w:r w:rsidRPr="00B22AF9" w:rsidR="00A562D3">
        <w:rPr>
          <w:rFonts w:cstheme="minorHAnsi"/>
        </w:rPr>
        <w:t xml:space="preserve">basis and the process includes </w:t>
      </w:r>
      <w:r w:rsidRPr="00B22AF9" w:rsidR="004A3428">
        <w:rPr>
          <w:rFonts w:cstheme="minorHAnsi"/>
        </w:rPr>
        <w:t xml:space="preserve">close coordination </w:t>
      </w:r>
      <w:r w:rsidRPr="00B22AF9" w:rsidR="00A562D3">
        <w:rPr>
          <w:rFonts w:cstheme="minorHAnsi"/>
        </w:rPr>
        <w:t>between Eurostat and the NSOs</w:t>
      </w:r>
      <w:r w:rsidR="00FB6D54">
        <w:rPr>
          <w:rFonts w:cstheme="minorHAnsi"/>
        </w:rPr>
        <w:t>, however</w:t>
      </w:r>
      <w:r w:rsidR="00CF08C8">
        <w:rPr>
          <w:rFonts w:cstheme="minorHAnsi"/>
        </w:rPr>
        <w:t>,</w:t>
      </w:r>
      <w:r w:rsidR="00FB6D54">
        <w:rPr>
          <w:rFonts w:cstheme="minorHAnsi"/>
        </w:rPr>
        <w:t xml:space="preserve"> the data remains only available to those part of the European Statistical System.</w:t>
      </w:r>
      <w:r w:rsidRPr="00B22AF9" w:rsidR="00A562D3">
        <w:rPr>
          <w:rFonts w:cstheme="minorHAnsi"/>
        </w:rPr>
        <w:t xml:space="preserve"> </w:t>
      </w:r>
    </w:p>
    <w:p w:rsidRPr="00B22AF9" w:rsidR="002F532A" w:rsidP="00175AAD" w:rsidRDefault="002F532A" w14:paraId="0D530E76" w14:textId="77777777">
      <w:pPr>
        <w:spacing w:after="0" w:line="240" w:lineRule="auto"/>
        <w:jc w:val="both"/>
        <w:rPr>
          <w:rFonts w:cstheme="minorHAnsi"/>
        </w:rPr>
      </w:pPr>
    </w:p>
    <w:p w:rsidR="00274D24" w:rsidP="00175AAD" w:rsidRDefault="00041185" w14:paraId="51D6C1A9" w14:textId="180B2AFE">
      <w:pPr>
        <w:spacing w:after="0" w:line="240" w:lineRule="auto"/>
        <w:jc w:val="both"/>
      </w:pPr>
      <w:r>
        <w:t>In 201</w:t>
      </w:r>
      <w:r w:rsidR="00353F4B">
        <w:t>5</w:t>
      </w:r>
      <w:r>
        <w:t>, the United Nations Statistical Commission (UNSC)</w:t>
      </w:r>
      <w:r w:rsidR="000517F3">
        <w:t>,</w:t>
      </w:r>
      <w:r>
        <w:t xml:space="preserve"> </w:t>
      </w:r>
      <w:r w:rsidR="00274D24">
        <w:t>recognizing the importance of such registers</w:t>
      </w:r>
      <w:r w:rsidR="002E73A3">
        <w:t>,</w:t>
      </w:r>
      <w:r w:rsidR="00274D24">
        <w:t xml:space="preserve"> </w:t>
      </w:r>
      <w:r w:rsidR="00647E61">
        <w:t>mandated the</w:t>
      </w:r>
      <w:r w:rsidRPr="00647E61" w:rsidR="00647E61">
        <w:t xml:space="preserve"> </w:t>
      </w:r>
      <w:r w:rsidR="00647E61">
        <w:t xml:space="preserve">“…creation of a global enterprise group register, building on and taking into account lessons learned from the ongoing </w:t>
      </w:r>
      <w:proofErr w:type="spellStart"/>
      <w:r w:rsidR="00647E61">
        <w:t>EuroGroups</w:t>
      </w:r>
      <w:proofErr w:type="spellEnd"/>
      <w:r w:rsidR="00647E61">
        <w:t xml:space="preserve"> Register project”.</w:t>
      </w:r>
      <w:r w:rsidR="00647E61">
        <w:rPr>
          <w:rStyle w:val="FootnoteReference"/>
        </w:rPr>
        <w:footnoteReference w:id="1"/>
      </w:r>
      <w:r w:rsidR="00BC571B">
        <w:t xml:space="preserve">  In parallel</w:t>
      </w:r>
      <w:r w:rsidR="002E73A3">
        <w:t>,</w:t>
      </w:r>
      <w:r w:rsidR="00BC571B">
        <w:t xml:space="preserve"> OECD and UNSD developed </w:t>
      </w:r>
      <w:r w:rsidR="00F67F37">
        <w:t xml:space="preserve">global registers using very similar methods: the </w:t>
      </w:r>
      <w:r w:rsidR="00A255DC">
        <w:t>“Analytical Database of Multinational Activity” (ADIMA)</w:t>
      </w:r>
      <w:r w:rsidR="009C35A5">
        <w:t>,</w:t>
      </w:r>
      <w:r w:rsidR="00A255DC">
        <w:t xml:space="preserve"> developed by OECD </w:t>
      </w:r>
      <w:r w:rsidR="00CB12B6">
        <w:t>in</w:t>
      </w:r>
      <w:r w:rsidR="00A255DC">
        <w:t xml:space="preserve"> 2018</w:t>
      </w:r>
      <w:r w:rsidR="009C35A5">
        <w:t>,</w:t>
      </w:r>
      <w:r w:rsidR="00A255DC">
        <w:t xml:space="preserve"> and the </w:t>
      </w:r>
      <w:r w:rsidR="00477FDD">
        <w:t>“</w:t>
      </w:r>
      <w:r w:rsidR="00A255DC">
        <w:t>Global Group Register</w:t>
      </w:r>
      <w:r w:rsidR="00477FDD">
        <w:t>” (GGR)</w:t>
      </w:r>
      <w:r w:rsidR="009C35A5">
        <w:t>,</w:t>
      </w:r>
      <w:r w:rsidR="00A255DC">
        <w:t xml:space="preserve"> developed by UNSD </w:t>
      </w:r>
      <w:r w:rsidR="000B59DF">
        <w:t>in</w:t>
      </w:r>
      <w:r w:rsidR="00A255DC">
        <w:t xml:space="preserve"> 20</w:t>
      </w:r>
      <w:r w:rsidR="004B2C36">
        <w:t>21</w:t>
      </w:r>
      <w:r w:rsidR="00477FDD">
        <w:t>. Given the similarity in the approaches</w:t>
      </w:r>
      <w:r w:rsidR="00C34346">
        <w:t>, UN</w:t>
      </w:r>
      <w:r w:rsidR="002C6920">
        <w:t>S</w:t>
      </w:r>
      <w:r w:rsidR="00C34346">
        <w:t xml:space="preserve">D and OECD </w:t>
      </w:r>
      <w:r w:rsidRPr="00A07697" w:rsidR="00A07697">
        <w:t xml:space="preserve">collaboratively undertook the initiative </w:t>
      </w:r>
      <w:r w:rsidR="00F21910">
        <w:t>in 20</w:t>
      </w:r>
      <w:r w:rsidR="00EB702B">
        <w:t>22</w:t>
      </w:r>
      <w:r w:rsidR="00C34346">
        <w:t xml:space="preserve"> </w:t>
      </w:r>
      <w:r w:rsidR="00F074A9">
        <w:t>to establish a</w:t>
      </w:r>
      <w:r w:rsidR="00C34346">
        <w:t xml:space="preserve"> </w:t>
      </w:r>
      <w:r w:rsidR="002C6920">
        <w:t xml:space="preserve">common </w:t>
      </w:r>
      <w:r w:rsidR="00971AFA">
        <w:t>register for the largest multinationals</w:t>
      </w:r>
      <w:r w:rsidR="00F074A9">
        <w:t xml:space="preserve">. </w:t>
      </w:r>
      <w:r w:rsidRPr="00F074A9" w:rsidR="00F074A9">
        <w:t xml:space="preserve">Consequently, </w:t>
      </w:r>
      <w:r w:rsidR="00471130">
        <w:t xml:space="preserve">in </w:t>
      </w:r>
      <w:r w:rsidR="005061CC">
        <w:t>February 2023, UNSD and OECD released the</w:t>
      </w:r>
      <w:r w:rsidR="00255F3B">
        <w:t xml:space="preserve"> first edition of the </w:t>
      </w:r>
      <w:r w:rsidRPr="005061CC" w:rsidR="005061CC">
        <w:t>Multinational Enterprise Information Platform (MEIP</w:t>
      </w:r>
      <w:proofErr w:type="gramStart"/>
      <w:r w:rsidRPr="005061CC" w:rsidR="005061CC">
        <w:t>)</w:t>
      </w:r>
      <w:proofErr w:type="gramEnd"/>
      <w:r w:rsidR="00FB6D54">
        <w:t xml:space="preserve"> and this data is made available to all on an open-source basis.</w:t>
      </w:r>
    </w:p>
    <w:p w:rsidR="00556F81" w:rsidP="00175AAD" w:rsidRDefault="00556F81" w14:paraId="62B58F54" w14:textId="77777777">
      <w:pPr>
        <w:spacing w:after="0" w:line="240" w:lineRule="auto"/>
        <w:jc w:val="both"/>
      </w:pPr>
    </w:p>
    <w:p w:rsidR="008D11CD" w:rsidP="00B203D2" w:rsidRDefault="008D11CD" w14:paraId="6D047CA6" w14:textId="77777777">
      <w:pPr>
        <w:spacing w:after="0" w:line="240" w:lineRule="auto"/>
        <w:rPr>
          <w:b/>
          <w:bCs/>
          <w:sz w:val="24"/>
          <w:szCs w:val="24"/>
        </w:rPr>
      </w:pPr>
    </w:p>
    <w:p w:rsidRPr="00EE19D3" w:rsidR="006A57BB" w:rsidP="00175AAD" w:rsidRDefault="00956165" w14:paraId="45813BFD" w14:textId="221BC81D">
      <w:pPr>
        <w:spacing w:after="0" w:line="240" w:lineRule="auto"/>
        <w:rPr>
          <w:b/>
          <w:bCs/>
          <w:sz w:val="24"/>
          <w:szCs w:val="24"/>
          <w:lang w:val="fr-FR"/>
        </w:rPr>
      </w:pPr>
      <w:r w:rsidRPr="00EE19D3">
        <w:rPr>
          <w:b/>
          <w:bCs/>
          <w:sz w:val="24"/>
          <w:szCs w:val="24"/>
          <w:lang w:val="fr-FR"/>
        </w:rPr>
        <w:t>Multinational Enterprise Information Platform (MEIP)</w:t>
      </w:r>
    </w:p>
    <w:p w:rsidRPr="00EE19D3" w:rsidR="002E0F74" w:rsidP="00175AAD" w:rsidRDefault="002E0F74" w14:paraId="0C678AF6" w14:textId="77777777">
      <w:pPr>
        <w:spacing w:after="0" w:line="240" w:lineRule="auto"/>
        <w:jc w:val="both"/>
        <w:rPr>
          <w:lang w:val="fr-FR"/>
        </w:rPr>
      </w:pPr>
    </w:p>
    <w:p w:rsidR="00E216B4" w:rsidP="00175AAD" w:rsidRDefault="00E216B4" w14:paraId="51BFA5CF" w14:textId="7A5F0A2E">
      <w:pPr>
        <w:spacing w:after="0" w:line="240" w:lineRule="auto"/>
        <w:jc w:val="both"/>
      </w:pPr>
      <w:r w:rsidRPr="00083423">
        <w:t xml:space="preserve">The Multinational Enterprise Information Platform (MEIP) </w:t>
      </w:r>
      <w:r w:rsidR="005851E9">
        <w:t xml:space="preserve">consists of </w:t>
      </w:r>
      <w:r>
        <w:t>two registers</w:t>
      </w:r>
      <w:r w:rsidR="007C4379">
        <w:rPr>
          <w:rStyle w:val="FootnoteReference"/>
        </w:rPr>
        <w:footnoteReference w:id="2"/>
      </w:r>
      <w:r>
        <w:t xml:space="preserve">: </w:t>
      </w:r>
    </w:p>
    <w:p w:rsidR="00837EC3" w:rsidP="00B203D2" w:rsidRDefault="00E216B4" w14:paraId="20C4CB85" w14:textId="00A8F8D5">
      <w:pPr>
        <w:pStyle w:val="ListParagraph"/>
        <w:numPr>
          <w:ilvl w:val="0"/>
          <w:numId w:val="1"/>
        </w:numPr>
        <w:rPr>
          <w:rFonts w:asciiTheme="minorHAnsi" w:hAnsiTheme="minorHAnsi" w:cstheme="minorHAnsi"/>
        </w:rPr>
      </w:pPr>
      <w:r w:rsidRPr="00996A06">
        <w:rPr>
          <w:rFonts w:asciiTheme="minorHAnsi" w:hAnsiTheme="minorHAnsi" w:cstheme="minorHAnsi"/>
        </w:rPr>
        <w:t xml:space="preserve">The </w:t>
      </w:r>
      <w:r w:rsidRPr="00C8215F">
        <w:rPr>
          <w:rFonts w:asciiTheme="minorHAnsi" w:hAnsiTheme="minorHAnsi" w:cstheme="minorHAnsi"/>
          <w:b/>
          <w:bCs/>
        </w:rPr>
        <w:t>Global Register</w:t>
      </w:r>
      <w:r w:rsidRPr="00996A06">
        <w:rPr>
          <w:rFonts w:asciiTheme="minorHAnsi" w:hAnsiTheme="minorHAnsi" w:cstheme="minorHAnsi"/>
        </w:rPr>
        <w:t xml:space="preserve">: </w:t>
      </w:r>
      <w:r w:rsidR="00112DD4">
        <w:rPr>
          <w:rFonts w:asciiTheme="minorHAnsi" w:hAnsiTheme="minorHAnsi" w:cstheme="minorHAnsi"/>
        </w:rPr>
        <w:t>Covering</w:t>
      </w:r>
      <w:r w:rsidRPr="00996A06">
        <w:rPr>
          <w:rFonts w:asciiTheme="minorHAnsi" w:hAnsiTheme="minorHAnsi" w:cstheme="minorHAnsi"/>
        </w:rPr>
        <w:t xml:space="preserve"> the structure of the 500 largest MNEs</w:t>
      </w:r>
      <w:r w:rsidR="005851E9">
        <w:rPr>
          <w:rFonts w:asciiTheme="minorHAnsi" w:hAnsiTheme="minorHAnsi" w:cstheme="minorHAnsi"/>
        </w:rPr>
        <w:t xml:space="preserve">. It </w:t>
      </w:r>
      <w:r w:rsidRPr="00996A06">
        <w:rPr>
          <w:rFonts w:asciiTheme="minorHAnsi" w:hAnsiTheme="minorHAnsi" w:cstheme="minorHAnsi"/>
        </w:rPr>
        <w:t>provid</w:t>
      </w:r>
      <w:r w:rsidR="005851E9">
        <w:rPr>
          <w:rFonts w:asciiTheme="minorHAnsi" w:hAnsiTheme="minorHAnsi" w:cstheme="minorHAnsi"/>
        </w:rPr>
        <w:t>es</w:t>
      </w:r>
      <w:r w:rsidRPr="00996A06">
        <w:rPr>
          <w:rFonts w:asciiTheme="minorHAnsi" w:hAnsiTheme="minorHAnsi" w:cstheme="minorHAnsi"/>
        </w:rPr>
        <w:t xml:space="preserve"> information on the MNE’s head, </w:t>
      </w:r>
      <w:r w:rsidR="00B4086A">
        <w:rPr>
          <w:rFonts w:asciiTheme="minorHAnsi" w:hAnsiTheme="minorHAnsi" w:cstheme="minorHAnsi"/>
        </w:rPr>
        <w:t xml:space="preserve">its </w:t>
      </w:r>
      <w:r w:rsidRPr="00996A06">
        <w:rPr>
          <w:rFonts w:asciiTheme="minorHAnsi" w:hAnsiTheme="minorHAnsi" w:cstheme="minorHAnsi"/>
        </w:rPr>
        <w:t>subsidiaries</w:t>
      </w:r>
      <w:r w:rsidR="00B4086A">
        <w:rPr>
          <w:rFonts w:asciiTheme="minorHAnsi" w:hAnsiTheme="minorHAnsi" w:cstheme="minorHAnsi"/>
        </w:rPr>
        <w:t xml:space="preserve"> and affiliates</w:t>
      </w:r>
      <w:r w:rsidRPr="00996A06">
        <w:rPr>
          <w:rFonts w:asciiTheme="minorHAnsi" w:hAnsiTheme="minorHAnsi" w:cstheme="minorHAnsi"/>
        </w:rPr>
        <w:t>, their location</w:t>
      </w:r>
      <w:r>
        <w:rPr>
          <w:rFonts w:asciiTheme="minorHAnsi" w:hAnsiTheme="minorHAnsi" w:cstheme="minorHAnsi"/>
        </w:rPr>
        <w:t>,</w:t>
      </w:r>
      <w:r w:rsidRPr="00996A06">
        <w:rPr>
          <w:rFonts w:asciiTheme="minorHAnsi" w:hAnsiTheme="minorHAnsi" w:cstheme="minorHAnsi"/>
        </w:rPr>
        <w:t xml:space="preserve"> and their ownership structure when available. </w:t>
      </w:r>
    </w:p>
    <w:p w:rsidR="00E216B4" w:rsidP="00B203D2" w:rsidRDefault="00837EC3" w14:paraId="4C9B31C2" w14:textId="24CAD46F">
      <w:pPr>
        <w:pStyle w:val="ListParagraph"/>
        <w:numPr>
          <w:ilvl w:val="0"/>
          <w:numId w:val="1"/>
        </w:numPr>
        <w:rPr>
          <w:rFonts w:asciiTheme="minorHAnsi" w:hAnsiTheme="minorHAnsi" w:cstheme="minorHAnsi"/>
        </w:rPr>
      </w:pPr>
      <w:r w:rsidRPr="00996A06">
        <w:rPr>
          <w:rFonts w:asciiTheme="minorHAnsi" w:hAnsiTheme="minorHAnsi" w:cstheme="minorHAnsi"/>
        </w:rPr>
        <w:t xml:space="preserve">The </w:t>
      </w:r>
      <w:r w:rsidRPr="00C8215F">
        <w:rPr>
          <w:rFonts w:asciiTheme="minorHAnsi" w:hAnsiTheme="minorHAnsi" w:cstheme="minorHAnsi"/>
          <w:b/>
          <w:bCs/>
        </w:rPr>
        <w:t>Digital Register</w:t>
      </w:r>
      <w:r w:rsidRPr="00996A06">
        <w:rPr>
          <w:rFonts w:asciiTheme="minorHAnsi" w:hAnsiTheme="minorHAnsi" w:cstheme="minorHAnsi"/>
        </w:rPr>
        <w:t>: Covering the</w:t>
      </w:r>
      <w:r>
        <w:rPr>
          <w:rFonts w:asciiTheme="minorHAnsi" w:hAnsiTheme="minorHAnsi" w:cstheme="minorHAnsi"/>
        </w:rPr>
        <w:t xml:space="preserve"> online presence of MNE</w:t>
      </w:r>
      <w:r w:rsidR="002F08A9">
        <w:rPr>
          <w:rFonts w:asciiTheme="minorHAnsi" w:hAnsiTheme="minorHAnsi" w:cstheme="minorHAnsi"/>
        </w:rPr>
        <w:t>s</w:t>
      </w:r>
      <w:r w:rsidRPr="00996A06">
        <w:rPr>
          <w:rFonts w:asciiTheme="minorHAnsi" w:hAnsiTheme="minorHAnsi" w:cstheme="minorHAnsi"/>
        </w:rPr>
        <w:t xml:space="preserve"> by providing a list of </w:t>
      </w:r>
      <w:r>
        <w:rPr>
          <w:rFonts w:asciiTheme="minorHAnsi" w:hAnsiTheme="minorHAnsi" w:cstheme="minorHAnsi"/>
        </w:rPr>
        <w:t>linked</w:t>
      </w:r>
      <w:r w:rsidRPr="00996A06">
        <w:rPr>
          <w:rFonts w:asciiTheme="minorHAnsi" w:hAnsiTheme="minorHAnsi" w:cstheme="minorHAnsi"/>
        </w:rPr>
        <w:t xml:space="preserve"> websites </w:t>
      </w:r>
      <w:r>
        <w:rPr>
          <w:rFonts w:asciiTheme="minorHAnsi" w:hAnsiTheme="minorHAnsi" w:cstheme="minorHAnsi"/>
        </w:rPr>
        <w:t>along with</w:t>
      </w:r>
      <w:r w:rsidRPr="00996A06">
        <w:rPr>
          <w:rFonts w:asciiTheme="minorHAnsi" w:hAnsiTheme="minorHAnsi" w:cstheme="minorHAnsi"/>
        </w:rPr>
        <w:t xml:space="preserve"> their relative importance </w:t>
      </w:r>
      <w:r>
        <w:rPr>
          <w:rFonts w:asciiTheme="minorHAnsi" w:hAnsiTheme="minorHAnsi" w:cstheme="minorHAnsi"/>
        </w:rPr>
        <w:t>based on</w:t>
      </w:r>
      <w:r w:rsidRPr="00996A06">
        <w:rPr>
          <w:rFonts w:asciiTheme="minorHAnsi" w:hAnsiTheme="minorHAnsi" w:cstheme="minorHAnsi"/>
        </w:rPr>
        <w:t xml:space="preserve"> </w:t>
      </w:r>
      <w:r>
        <w:rPr>
          <w:rFonts w:asciiTheme="minorHAnsi" w:hAnsiTheme="minorHAnsi" w:cstheme="minorHAnsi"/>
        </w:rPr>
        <w:t>visitor count</w:t>
      </w:r>
      <w:r w:rsidRPr="00996A06">
        <w:rPr>
          <w:rFonts w:asciiTheme="minorHAnsi" w:hAnsiTheme="minorHAnsi" w:cstheme="minorHAnsi"/>
        </w:rPr>
        <w:t xml:space="preserve"> and the </w:t>
      </w:r>
      <w:r>
        <w:rPr>
          <w:rFonts w:asciiTheme="minorHAnsi" w:hAnsiTheme="minorHAnsi" w:cstheme="minorHAnsi"/>
        </w:rPr>
        <w:t>significance of website links</w:t>
      </w:r>
      <w:r w:rsidRPr="00996A06">
        <w:rPr>
          <w:rFonts w:asciiTheme="minorHAnsi" w:hAnsiTheme="minorHAnsi" w:cstheme="minorHAnsi"/>
        </w:rPr>
        <w:t xml:space="preserve"> (page rank).</w:t>
      </w:r>
      <w:r w:rsidRPr="00996A06" w:rsidDel="00E374A3">
        <w:rPr>
          <w:rFonts w:asciiTheme="minorHAnsi" w:hAnsiTheme="minorHAnsi" w:cstheme="minorHAnsi"/>
        </w:rPr>
        <w:t xml:space="preserve"> </w:t>
      </w:r>
    </w:p>
    <w:p w:rsidRPr="00996A06" w:rsidR="00E216B4" w:rsidP="00B203D2" w:rsidRDefault="00E216B4" w14:paraId="2E884E63" w14:textId="77777777">
      <w:pPr>
        <w:pStyle w:val="ListParagraph"/>
        <w:rPr>
          <w:rFonts w:asciiTheme="minorHAnsi" w:hAnsiTheme="minorHAnsi" w:cstheme="minorHAnsi"/>
        </w:rPr>
      </w:pPr>
    </w:p>
    <w:p w:rsidR="003F7CE4" w:rsidP="00175AAD" w:rsidRDefault="003F7CE4" w14:paraId="01F18A95" w14:textId="69B26453">
      <w:pPr>
        <w:spacing w:after="0" w:line="240" w:lineRule="auto"/>
        <w:jc w:val="both"/>
      </w:pPr>
      <w:r w:rsidRPr="005E5233">
        <w:t xml:space="preserve">The </w:t>
      </w:r>
      <w:r w:rsidRPr="00E216B4">
        <w:rPr>
          <w:b/>
          <w:bCs/>
        </w:rPr>
        <w:t>Multinational Enterprise Information Platform (MEIP)</w:t>
      </w:r>
      <w:r w:rsidRPr="005E5233">
        <w:t xml:space="preserve"> relies on publicly available information, using advanced data processing and handling techniques to develop a framework for determining an </w:t>
      </w:r>
      <w:r w:rsidRPr="005E5233" w:rsidR="00A208DB">
        <w:t>MNE</w:t>
      </w:r>
      <w:r w:rsidR="00A208DB">
        <w:t>’s</w:t>
      </w:r>
      <w:r w:rsidRPr="005E5233" w:rsidR="00A208DB">
        <w:t xml:space="preserve"> </w:t>
      </w:r>
      <w:r w:rsidRPr="005E5233">
        <w:t xml:space="preserve">subsidiaries (including jurisdiction, hierarchy, and addresses – with links to other corporate databases including OpenCorporates, GLEIF and, </w:t>
      </w:r>
      <w:proofErr w:type="spellStart"/>
      <w:r w:rsidRPr="005E5233">
        <w:t>PermID</w:t>
      </w:r>
      <w:proofErr w:type="spellEnd"/>
      <w:r w:rsidRPr="005E5233">
        <w:t>). This is complemented by new digital sources, such as websites and social media profiles</w:t>
      </w:r>
      <w:r w:rsidR="00357CCD">
        <w:t>.</w:t>
      </w:r>
    </w:p>
    <w:p w:rsidR="008D11CD" w:rsidP="00175AAD" w:rsidRDefault="008D11CD" w14:paraId="79C0C217" w14:textId="77777777">
      <w:pPr>
        <w:spacing w:after="0" w:line="240" w:lineRule="auto"/>
        <w:jc w:val="both"/>
      </w:pPr>
    </w:p>
    <w:p w:rsidR="00341E9A" w:rsidP="00B203D2" w:rsidRDefault="00341E9A" w14:paraId="54BDB8D9" w14:textId="63DBC7E1">
      <w:pPr>
        <w:spacing w:after="0" w:line="240" w:lineRule="auto"/>
        <w:jc w:val="both"/>
      </w:pPr>
      <w:r>
        <w:t xml:space="preserve">The </w:t>
      </w:r>
      <w:r w:rsidR="007C3A2D">
        <w:t>first</w:t>
      </w:r>
      <w:r>
        <w:t xml:space="preserve"> edition of MEIP contains information about the largest 50</w:t>
      </w:r>
      <w:r w:rsidR="00FB6D54">
        <w:t>0</w:t>
      </w:r>
      <w:r>
        <w:t xml:space="preserve"> MNEs based on data for the </w:t>
      </w:r>
      <w:r w:rsidR="00FB6D54">
        <w:t xml:space="preserve">financial </w:t>
      </w:r>
      <w:r>
        <w:t>year</w:t>
      </w:r>
      <w:r w:rsidR="00FB6D54">
        <w:t xml:space="preserve"> ending 31</w:t>
      </w:r>
      <w:r w:rsidRPr="00EE19D3" w:rsidR="00FB6D54">
        <w:rPr>
          <w:vertAlign w:val="superscript"/>
        </w:rPr>
        <w:t>st</w:t>
      </w:r>
      <w:r w:rsidR="00FB6D54">
        <w:t xml:space="preserve"> December</w:t>
      </w:r>
      <w:r>
        <w:t xml:space="preserve"> 2021. The global register </w:t>
      </w:r>
      <w:r w:rsidR="00B160B8">
        <w:t>cover</w:t>
      </w:r>
      <w:r w:rsidR="008A5F50">
        <w:t>s</w:t>
      </w:r>
      <w:r w:rsidR="00B160B8">
        <w:t xml:space="preserve"> about </w:t>
      </w:r>
      <w:r w:rsidRPr="00B47304" w:rsidR="00DB6343">
        <w:t>12</w:t>
      </w:r>
      <w:r w:rsidR="00FB6D54">
        <w:t>0,000</w:t>
      </w:r>
      <w:r w:rsidR="00B160B8">
        <w:t xml:space="preserve"> </w:t>
      </w:r>
      <w:r w:rsidR="007A3305">
        <w:t>affiliates</w:t>
      </w:r>
      <w:r w:rsidR="00B160B8">
        <w:t xml:space="preserve"> </w:t>
      </w:r>
      <w:r w:rsidR="00FB6D54">
        <w:t>in over</w:t>
      </w:r>
      <w:r w:rsidR="00B160B8">
        <w:t xml:space="preserve"> </w:t>
      </w:r>
      <w:r w:rsidR="00B47304">
        <w:t>2</w:t>
      </w:r>
      <w:r w:rsidR="00FB6D54">
        <w:t>00</w:t>
      </w:r>
      <w:r w:rsidR="00B160B8">
        <w:t xml:space="preserve"> </w:t>
      </w:r>
      <w:r w:rsidR="00FB6D54">
        <w:t>jurisdictions</w:t>
      </w:r>
      <w:r w:rsidR="00300D1E">
        <w:t>,</w:t>
      </w:r>
      <w:r w:rsidR="00104E74">
        <w:t xml:space="preserve"> </w:t>
      </w:r>
      <w:r w:rsidR="00300D1E">
        <w:t>w</w:t>
      </w:r>
      <w:r w:rsidR="00AF5BA1">
        <w:t>hile</w:t>
      </w:r>
      <w:r w:rsidR="00300D1E">
        <w:t xml:space="preserve"> </w:t>
      </w:r>
      <w:r w:rsidR="00AF5BA1">
        <w:t>t</w:t>
      </w:r>
      <w:r w:rsidR="00104E74">
        <w:t>he digital register covers about</w:t>
      </w:r>
      <w:r w:rsidR="00BC6970">
        <w:t xml:space="preserve"> 11</w:t>
      </w:r>
      <w:r w:rsidR="00FB6D54">
        <w:t>0,000</w:t>
      </w:r>
      <w:r w:rsidR="00BC6970">
        <w:t xml:space="preserve"> </w:t>
      </w:r>
      <w:r w:rsidR="00FB6D54">
        <w:t xml:space="preserve">web </w:t>
      </w:r>
      <w:r w:rsidR="00BC6970">
        <w:t>domains</w:t>
      </w:r>
      <w:r w:rsidR="00712299">
        <w:t xml:space="preserve">. </w:t>
      </w:r>
    </w:p>
    <w:p w:rsidR="008D11CD" w:rsidP="00175AAD" w:rsidRDefault="008D11CD" w14:paraId="4E660261" w14:textId="77777777">
      <w:pPr>
        <w:spacing w:after="0" w:line="240" w:lineRule="auto"/>
        <w:jc w:val="both"/>
      </w:pPr>
    </w:p>
    <w:p w:rsidR="002F514D" w:rsidP="00175AAD" w:rsidRDefault="002F514D" w14:paraId="55F47EB6" w14:textId="3624FB22">
      <w:pPr>
        <w:spacing w:after="0" w:line="240" w:lineRule="auto"/>
        <w:jc w:val="both"/>
      </w:pPr>
      <w:r>
        <w:t xml:space="preserve">The global register includes a </w:t>
      </w:r>
      <w:r w:rsidR="006B7D9B">
        <w:t xml:space="preserve">user-friendly </w:t>
      </w:r>
      <w:r>
        <w:t>dashboard to navigate th</w:t>
      </w:r>
      <w:r w:rsidR="00C11138">
        <w:t>r</w:t>
      </w:r>
      <w:r>
        <w:t xml:space="preserve">ough the database (see </w:t>
      </w:r>
      <w:r w:rsidR="00C11138">
        <w:t>F</w:t>
      </w:r>
      <w:r>
        <w:t>igure 1)</w:t>
      </w:r>
      <w:r w:rsidR="004520C2">
        <w:t>.</w:t>
      </w:r>
    </w:p>
    <w:p w:rsidR="00EE19D3" w:rsidP="00175AAD" w:rsidRDefault="00EE19D3" w14:paraId="43C3155A" w14:textId="77777777">
      <w:pPr>
        <w:spacing w:after="0" w:line="240" w:lineRule="auto"/>
        <w:jc w:val="both"/>
      </w:pPr>
    </w:p>
    <w:p w:rsidR="006F13E6" w:rsidP="00EE19D3" w:rsidRDefault="00FB6D54" w14:paraId="0128A57B" w14:textId="29FE7EC9">
      <w:pPr>
        <w:spacing w:after="0" w:line="240" w:lineRule="auto"/>
        <w:jc w:val="center"/>
      </w:pPr>
      <w:r>
        <w:rPr>
          <w:noProof/>
        </w:rPr>
        <w:drawing>
          <wp:inline distT="0" distB="0" distL="0" distR="0" wp14:anchorId="2352B485" wp14:editId="6432B68D">
            <wp:extent cx="5943600" cy="3325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25495"/>
                    </a:xfrm>
                    <a:prstGeom prst="rect">
                      <a:avLst/>
                    </a:prstGeom>
                  </pic:spPr>
                </pic:pic>
              </a:graphicData>
            </a:graphic>
          </wp:inline>
        </w:drawing>
      </w:r>
    </w:p>
    <w:p w:rsidR="00BB7161" w:rsidP="00175AAD" w:rsidRDefault="00BB7161" w14:paraId="5924ED5F" w14:textId="512E71F3">
      <w:pPr>
        <w:spacing w:after="0" w:line="240" w:lineRule="auto"/>
        <w:rPr>
          <w:rFonts w:cstheme="minorHAnsi"/>
        </w:rPr>
      </w:pPr>
    </w:p>
    <w:p w:rsidRPr="009C31EE" w:rsidR="00BB7161" w:rsidP="00175AAD" w:rsidRDefault="00BB7161" w14:paraId="78B3289B" w14:textId="572A6849">
      <w:pPr>
        <w:spacing w:after="0" w:line="240" w:lineRule="auto"/>
        <w:rPr>
          <w:rFonts w:cstheme="minorHAnsi"/>
          <w:sz w:val="16"/>
          <w:szCs w:val="16"/>
        </w:rPr>
      </w:pPr>
      <w:r w:rsidRPr="009C31EE">
        <w:rPr>
          <w:rFonts w:cstheme="minorHAnsi"/>
          <w:sz w:val="16"/>
          <w:szCs w:val="16"/>
        </w:rPr>
        <w:t>Fig</w:t>
      </w:r>
      <w:r w:rsidR="00C11138">
        <w:rPr>
          <w:rFonts w:cstheme="minorHAnsi"/>
          <w:sz w:val="16"/>
          <w:szCs w:val="16"/>
        </w:rPr>
        <w:t xml:space="preserve">ure </w:t>
      </w:r>
      <w:r w:rsidRPr="009C31EE">
        <w:rPr>
          <w:rFonts w:cstheme="minorHAnsi"/>
          <w:sz w:val="16"/>
          <w:szCs w:val="16"/>
        </w:rPr>
        <w:t>1</w:t>
      </w:r>
      <w:r w:rsidR="00C11138">
        <w:rPr>
          <w:rFonts w:cstheme="minorHAnsi"/>
          <w:sz w:val="16"/>
          <w:szCs w:val="16"/>
        </w:rPr>
        <w:t>.</w:t>
      </w:r>
      <w:r w:rsidRPr="009C31EE">
        <w:rPr>
          <w:rFonts w:cstheme="minorHAnsi"/>
          <w:sz w:val="16"/>
          <w:szCs w:val="16"/>
        </w:rPr>
        <w:t xml:space="preserve"> Dashboard of MEIP Global Register (data as of 31</w:t>
      </w:r>
      <w:r w:rsidRPr="009C31EE">
        <w:rPr>
          <w:rFonts w:cstheme="minorHAnsi"/>
          <w:sz w:val="16"/>
          <w:szCs w:val="16"/>
          <w:vertAlign w:val="superscript"/>
        </w:rPr>
        <w:t>st</w:t>
      </w:r>
      <w:r w:rsidRPr="009C31EE">
        <w:rPr>
          <w:rFonts w:cstheme="minorHAnsi"/>
          <w:sz w:val="16"/>
          <w:szCs w:val="16"/>
        </w:rPr>
        <w:t xml:space="preserve"> December 2021) </w:t>
      </w:r>
    </w:p>
    <w:p w:rsidR="00295073" w:rsidP="00175AAD" w:rsidRDefault="00295073" w14:paraId="34BF08F7" w14:textId="77777777">
      <w:pPr>
        <w:spacing w:after="0" w:line="240" w:lineRule="auto"/>
        <w:jc w:val="both"/>
      </w:pPr>
    </w:p>
    <w:p w:rsidRPr="00175AAD" w:rsidR="008D11CD" w:rsidP="00175AAD" w:rsidRDefault="008D11CD" w14:paraId="7653C83A" w14:textId="77777777">
      <w:pPr>
        <w:spacing w:after="0" w:line="240" w:lineRule="auto"/>
        <w:jc w:val="both"/>
        <w:rPr>
          <w:sz w:val="24"/>
          <w:szCs w:val="24"/>
        </w:rPr>
      </w:pPr>
    </w:p>
    <w:p w:rsidRPr="00175AAD" w:rsidR="0035543F" w:rsidP="00B203D2" w:rsidRDefault="0035543F" w14:paraId="6260352C" w14:textId="44D7497C">
      <w:pPr>
        <w:spacing w:after="0" w:line="240" w:lineRule="auto"/>
        <w:rPr>
          <w:b/>
          <w:bCs/>
          <w:sz w:val="24"/>
          <w:szCs w:val="24"/>
        </w:rPr>
      </w:pPr>
      <w:r w:rsidRPr="00175AAD">
        <w:rPr>
          <w:b/>
          <w:bCs/>
          <w:sz w:val="24"/>
          <w:szCs w:val="24"/>
        </w:rPr>
        <w:t>Uses of MEIP</w:t>
      </w:r>
    </w:p>
    <w:p w:rsidRPr="00175AAD" w:rsidR="008D11CD" w:rsidP="00175AAD" w:rsidRDefault="008D11CD" w14:paraId="18F56B01" w14:textId="77777777">
      <w:pPr>
        <w:spacing w:after="0" w:line="240" w:lineRule="auto"/>
        <w:rPr>
          <w:b/>
          <w:bCs/>
        </w:rPr>
      </w:pPr>
    </w:p>
    <w:p w:rsidRPr="00175AAD" w:rsidR="0035543F" w:rsidP="00175AAD" w:rsidRDefault="0035543F" w14:paraId="32212728" w14:textId="3A4F822A">
      <w:pPr>
        <w:spacing w:after="0" w:line="240" w:lineRule="auto"/>
        <w:jc w:val="both"/>
        <w:rPr>
          <w:lang w:val="en-GB"/>
        </w:rPr>
      </w:pPr>
      <w:r>
        <w:t xml:space="preserve">MEIP and its predecessors were developed </w:t>
      </w:r>
      <w:proofErr w:type="gramStart"/>
      <w:r>
        <w:t>in an effort to</w:t>
      </w:r>
      <w:proofErr w:type="gramEnd"/>
      <w:r>
        <w:t xml:space="preserve"> better understand </w:t>
      </w:r>
      <w:proofErr w:type="spellStart"/>
      <w:r>
        <w:t>globali</w:t>
      </w:r>
      <w:r w:rsidR="00FB6D54">
        <w:t>s</w:t>
      </w:r>
      <w:r>
        <w:t>ation</w:t>
      </w:r>
      <w:proofErr w:type="spellEnd"/>
      <w:r>
        <w:t>.</w:t>
      </w:r>
      <w:r w:rsidR="007664BE">
        <w:t xml:space="preserve"> </w:t>
      </w:r>
      <w:r>
        <w:t>Understanding the structure of multinational enterprises help</w:t>
      </w:r>
      <w:r w:rsidR="00A208DB">
        <w:t>s</w:t>
      </w:r>
      <w:r>
        <w:t xml:space="preserve"> to understand the dependencies and </w:t>
      </w:r>
      <w:r w:rsidR="00D27168">
        <w:t>provide</w:t>
      </w:r>
      <w:r w:rsidR="00DA0AFA">
        <w:t>s</w:t>
      </w:r>
      <w:r>
        <w:t xml:space="preserve"> insight</w:t>
      </w:r>
      <w:r w:rsidR="00A3183E">
        <w:t>s</w:t>
      </w:r>
      <w:r>
        <w:t xml:space="preserve"> </w:t>
      </w:r>
      <w:r w:rsidR="0042545D">
        <w:t>in</w:t>
      </w:r>
      <w:r>
        <w:t>to global value chains. Some analytical studies were carried out based on the information contained in the global register, such as the OECD blog “Investigating individual MNEs' responses to Russian sanctions”</w:t>
      </w:r>
      <w:r>
        <w:rPr>
          <w:rStyle w:val="FootnoteReference"/>
        </w:rPr>
        <w:footnoteReference w:id="3"/>
      </w:r>
      <w:r>
        <w:t xml:space="preserve"> and the OECD study “Investigating the gender diversity of women on boards”</w:t>
      </w:r>
      <w:r>
        <w:rPr>
          <w:rStyle w:val="FootnoteReference"/>
        </w:rPr>
        <w:footnoteReference w:id="4"/>
      </w:r>
      <w:r>
        <w:t>.</w:t>
      </w:r>
    </w:p>
    <w:p w:rsidRPr="00175AAD" w:rsidR="0035543F" w:rsidP="00175AAD" w:rsidRDefault="0035543F" w14:paraId="1CC6461D" w14:textId="77777777">
      <w:pPr>
        <w:spacing w:after="0" w:line="240" w:lineRule="auto"/>
        <w:jc w:val="both"/>
        <w:rPr>
          <w:i/>
          <w:iCs/>
        </w:rPr>
      </w:pPr>
    </w:p>
    <w:p w:rsidR="008D11CD" w:rsidP="00B203D2" w:rsidRDefault="008D11CD" w14:paraId="100360DD" w14:textId="77777777">
      <w:pPr>
        <w:spacing w:after="0" w:line="240" w:lineRule="auto"/>
        <w:rPr>
          <w:b/>
          <w:bCs/>
        </w:rPr>
      </w:pPr>
    </w:p>
    <w:p w:rsidRPr="00175AAD" w:rsidR="00E216B4" w:rsidP="00B203D2" w:rsidRDefault="00E216B4" w14:paraId="4072FF48" w14:textId="085DC2B5">
      <w:pPr>
        <w:spacing w:after="0" w:line="240" w:lineRule="auto"/>
        <w:rPr>
          <w:b/>
          <w:bCs/>
          <w:sz w:val="24"/>
          <w:szCs w:val="24"/>
        </w:rPr>
      </w:pPr>
      <w:r w:rsidRPr="00175AAD">
        <w:rPr>
          <w:b/>
          <w:bCs/>
          <w:sz w:val="24"/>
          <w:szCs w:val="24"/>
        </w:rPr>
        <w:t>Methodology and Data Sources</w:t>
      </w:r>
    </w:p>
    <w:p w:rsidRPr="00E216B4" w:rsidR="008D11CD" w:rsidP="00175AAD" w:rsidRDefault="008D11CD" w14:paraId="76183524" w14:textId="77777777">
      <w:pPr>
        <w:spacing w:after="0" w:line="240" w:lineRule="auto"/>
        <w:rPr>
          <w:b/>
          <w:bCs/>
        </w:rPr>
      </w:pPr>
    </w:p>
    <w:p w:rsidR="00E216B4" w:rsidP="00175AAD" w:rsidRDefault="00E216B4" w14:paraId="16B84E91" w14:textId="69DC6C2C">
      <w:pPr>
        <w:spacing w:after="0" w:line="240" w:lineRule="auto"/>
        <w:jc w:val="both"/>
      </w:pPr>
      <w:r>
        <w:t>MEIP</w:t>
      </w:r>
      <w:r w:rsidRPr="00541B1A">
        <w:t xml:space="preserve"> is built solely from publicly available information, </w:t>
      </w:r>
      <w:proofErr w:type="spellStart"/>
      <w:r w:rsidR="00BA708E">
        <w:t>utilising</w:t>
      </w:r>
      <w:proofErr w:type="spellEnd"/>
      <w:r w:rsidR="00F552BC">
        <w:t xml:space="preserve"> </w:t>
      </w:r>
      <w:r w:rsidRPr="007F0077" w:rsidR="007F0077">
        <w:t>advanced data processing and handling techniques to develop a framework for determining an MNEs’ subsidiaries</w:t>
      </w:r>
      <w:r w:rsidRPr="00541B1A">
        <w:t>.</w:t>
      </w:r>
      <w:r>
        <w:t xml:space="preserve"> </w:t>
      </w:r>
      <w:r w:rsidRPr="00675089">
        <w:t xml:space="preserve">Annual reports </w:t>
      </w:r>
      <w:r w:rsidR="0047153C">
        <w:t xml:space="preserve">serve as </w:t>
      </w:r>
      <w:r w:rsidR="00F42EA2">
        <w:t xml:space="preserve">the </w:t>
      </w:r>
      <w:r w:rsidR="00B82B6C">
        <w:lastRenderedPageBreak/>
        <w:t xml:space="preserve">primary </w:t>
      </w:r>
      <w:r w:rsidR="00F42EA2">
        <w:t xml:space="preserve">data sources for the identification of the </w:t>
      </w:r>
      <w:r w:rsidR="00E3475D">
        <w:t xml:space="preserve">subsidiaries of an MNE. They </w:t>
      </w:r>
      <w:r w:rsidRPr="00675089">
        <w:t>serve as rich repositories of valuable information, including financial data, subsidiary listings, and organizational structures.</w:t>
      </w:r>
      <w:r>
        <w:t xml:space="preserve"> </w:t>
      </w:r>
      <w:r w:rsidRPr="00F30480">
        <w:t>These reports provide essential details that contribute to a holistic understanding of MNEs' activities and hierarchies.</w:t>
      </w:r>
    </w:p>
    <w:p w:rsidR="0008592F" w:rsidP="00A15D3F" w:rsidRDefault="0008592F" w14:paraId="04EC2762" w14:textId="77777777">
      <w:pPr>
        <w:spacing w:after="0" w:line="240" w:lineRule="auto"/>
        <w:jc w:val="both"/>
      </w:pPr>
    </w:p>
    <w:p w:rsidR="00E216B4" w:rsidP="00175AAD" w:rsidRDefault="002C6F91" w14:paraId="2E24B79F" w14:textId="714D8B6D">
      <w:pPr>
        <w:spacing w:after="0" w:line="240" w:lineRule="auto"/>
        <w:jc w:val="both"/>
      </w:pPr>
      <w:r>
        <w:t>However</w:t>
      </w:r>
      <w:r w:rsidR="0076123F">
        <w:t>, annual report</w:t>
      </w:r>
      <w:r w:rsidR="002D0299">
        <w:t>s</w:t>
      </w:r>
      <w:r w:rsidR="0076123F">
        <w:t xml:space="preserve"> </w:t>
      </w:r>
      <w:r w:rsidR="00A06D99">
        <w:t xml:space="preserve">often </w:t>
      </w:r>
      <w:r w:rsidR="0076123F">
        <w:t xml:space="preserve">do not </w:t>
      </w:r>
      <w:r w:rsidR="00BD2AE7">
        <w:t>present a</w:t>
      </w:r>
      <w:r w:rsidR="0076123F">
        <w:t xml:space="preserve"> </w:t>
      </w:r>
      <w:r w:rsidR="00336D31">
        <w:t>complete list</w:t>
      </w:r>
      <w:r w:rsidR="0076123F">
        <w:t xml:space="preserve"> of subsidiaries and affiliates</w:t>
      </w:r>
      <w:r w:rsidR="00860424">
        <w:t>.</w:t>
      </w:r>
      <w:r w:rsidR="0076123F">
        <w:t xml:space="preserve"> </w:t>
      </w:r>
      <w:r w:rsidR="009A5597">
        <w:t>Therefore, a</w:t>
      </w:r>
      <w:r w:rsidR="003E59AF">
        <w:t xml:space="preserve">dditional sources are used to </w:t>
      </w:r>
      <w:r w:rsidR="00860424">
        <w:t xml:space="preserve">complement the list of subsidiaries </w:t>
      </w:r>
      <w:r w:rsidR="00131DE1">
        <w:t>and include additional information</w:t>
      </w:r>
      <w:r w:rsidR="000B72CC">
        <w:t>,</w:t>
      </w:r>
      <w:r w:rsidR="00131DE1">
        <w:t xml:space="preserve"> such as the location of units and the type of relationship between units. </w:t>
      </w:r>
      <w:r w:rsidR="00823728">
        <w:t xml:space="preserve">Data </w:t>
      </w:r>
      <w:r w:rsidR="00131522">
        <w:t>from openly licensed datasets</w:t>
      </w:r>
      <w:r w:rsidR="00C57900">
        <w:t>,</w:t>
      </w:r>
      <w:r w:rsidR="00131522">
        <w:t xml:space="preserve"> </w:t>
      </w:r>
      <w:r w:rsidR="004F73D1">
        <w:t>such as</w:t>
      </w:r>
      <w:r w:rsidR="00131DE1">
        <w:t xml:space="preserve"> </w:t>
      </w:r>
      <w:r w:rsidRPr="005D7EDC" w:rsidR="00E216B4">
        <w:t>OpenCorporates, GLEIF</w:t>
      </w:r>
      <w:r w:rsidR="00E216B4">
        <w:t>,</w:t>
      </w:r>
      <w:r w:rsidRPr="005D7EDC" w:rsidR="00E216B4">
        <w:t xml:space="preserve"> </w:t>
      </w:r>
      <w:proofErr w:type="spellStart"/>
      <w:r w:rsidRPr="005D7EDC" w:rsidR="00E216B4">
        <w:t>PermID</w:t>
      </w:r>
      <w:proofErr w:type="spellEnd"/>
      <w:r w:rsidR="00FF2BBA">
        <w:t>,</w:t>
      </w:r>
      <w:r w:rsidR="00131522">
        <w:t xml:space="preserve"> </w:t>
      </w:r>
      <w:proofErr w:type="spellStart"/>
      <w:r w:rsidR="00BF5D89">
        <w:t>CommonCrawl</w:t>
      </w:r>
      <w:proofErr w:type="spellEnd"/>
      <w:r w:rsidR="00BF5D89">
        <w:t xml:space="preserve">, </w:t>
      </w:r>
      <w:proofErr w:type="spellStart"/>
      <w:r w:rsidR="00BF5D89">
        <w:t>PeopleDataLabs</w:t>
      </w:r>
      <w:proofErr w:type="spellEnd"/>
      <w:r w:rsidR="00BF5D89">
        <w:t xml:space="preserve">, </w:t>
      </w:r>
      <w:proofErr w:type="spellStart"/>
      <w:r w:rsidR="00BF5D89">
        <w:t>WebDataCommons</w:t>
      </w:r>
      <w:proofErr w:type="spellEnd"/>
      <w:r w:rsidR="002F514D">
        <w:t xml:space="preserve">, </w:t>
      </w:r>
      <w:proofErr w:type="spellStart"/>
      <w:r w:rsidR="002F514D">
        <w:t>PeopleDataLabs</w:t>
      </w:r>
      <w:proofErr w:type="spellEnd"/>
      <w:r w:rsidR="002F514D">
        <w:t xml:space="preserve">, </w:t>
      </w:r>
      <w:proofErr w:type="spellStart"/>
      <w:r w:rsidR="002F514D">
        <w:t>WebDataCommons</w:t>
      </w:r>
      <w:proofErr w:type="spellEnd"/>
      <w:r w:rsidR="002F514D">
        <w:t xml:space="preserve">, </w:t>
      </w:r>
      <w:proofErr w:type="spellStart"/>
      <w:r w:rsidR="002F514D">
        <w:t>CorpWatch</w:t>
      </w:r>
      <w:proofErr w:type="spellEnd"/>
      <w:r w:rsidR="002F514D">
        <w:t>,</w:t>
      </w:r>
      <w:r w:rsidR="00F11929">
        <w:t xml:space="preserve"> </w:t>
      </w:r>
      <w:proofErr w:type="spellStart"/>
      <w:r w:rsidR="002F514D">
        <w:t>WikiData</w:t>
      </w:r>
      <w:proofErr w:type="spellEnd"/>
      <w:r w:rsidR="002F514D">
        <w:t xml:space="preserve">, Crunchbase, </w:t>
      </w:r>
      <w:proofErr w:type="spellStart"/>
      <w:r w:rsidR="002F514D">
        <w:t>OpenOwnership</w:t>
      </w:r>
      <w:proofErr w:type="spellEnd"/>
      <w:r w:rsidR="002F514D">
        <w:t xml:space="preserve">, </w:t>
      </w:r>
      <w:proofErr w:type="spellStart"/>
      <w:r w:rsidR="002F514D">
        <w:t>Sectigo</w:t>
      </w:r>
      <w:proofErr w:type="spellEnd"/>
      <w:r w:rsidR="002F514D">
        <w:t xml:space="preserve"> (crt.sh), and selected </w:t>
      </w:r>
      <w:r w:rsidR="0042545D">
        <w:t>country-</w:t>
      </w:r>
      <w:r w:rsidR="002F514D">
        <w:t>level open-source information</w:t>
      </w:r>
      <w:r w:rsidR="00CD5230">
        <w:t xml:space="preserve"> are </w:t>
      </w:r>
      <w:proofErr w:type="spellStart"/>
      <w:r w:rsidR="00CD5230">
        <w:t>utili</w:t>
      </w:r>
      <w:r w:rsidR="006A3832">
        <w:t>s</w:t>
      </w:r>
      <w:r w:rsidR="00CD5230">
        <w:t>ed</w:t>
      </w:r>
      <w:proofErr w:type="spellEnd"/>
      <w:r w:rsidR="002F514D">
        <w:t>.</w:t>
      </w:r>
      <w:r w:rsidDel="00BF5D89" w:rsidR="002F514D">
        <w:t xml:space="preserve"> </w:t>
      </w:r>
    </w:p>
    <w:p w:rsidR="000E6CB0" w:rsidP="00175AAD" w:rsidRDefault="000E6CB0" w14:paraId="77CCFFEF" w14:textId="77777777">
      <w:pPr>
        <w:spacing w:after="0" w:line="240" w:lineRule="auto"/>
        <w:jc w:val="both"/>
      </w:pPr>
    </w:p>
    <w:p w:rsidR="005077D1" w:rsidP="00175AAD" w:rsidRDefault="005077D1" w14:paraId="0DE40FFD" w14:textId="2FCD61D6">
      <w:pPr>
        <w:spacing w:after="0" w:line="240" w:lineRule="auto"/>
        <w:jc w:val="both"/>
      </w:pPr>
      <w:r>
        <w:t>Compiling MEIP is not a trivial exercise. It requires assembling a vast amount of information often in different and unstructured formats. Some of the challenges encounter</w:t>
      </w:r>
      <w:r w:rsidR="00432D9C">
        <w:t>ed</w:t>
      </w:r>
      <w:r>
        <w:t xml:space="preserve"> are presented below.  </w:t>
      </w:r>
    </w:p>
    <w:p w:rsidR="00857717" w:rsidDel="005077D1" w:rsidP="00175AAD" w:rsidRDefault="00857717" w14:paraId="044E5961" w14:textId="77777777">
      <w:pPr>
        <w:spacing w:after="0" w:line="240" w:lineRule="auto"/>
        <w:jc w:val="both"/>
      </w:pPr>
    </w:p>
    <w:p w:rsidR="00E216B4" w:rsidP="00175AAD" w:rsidRDefault="00E216B4" w14:paraId="2EB676D1" w14:textId="1741658B">
      <w:pPr>
        <w:spacing w:after="0" w:line="240" w:lineRule="auto"/>
        <w:jc w:val="both"/>
      </w:pPr>
      <w:r>
        <w:t>The</w:t>
      </w:r>
      <w:r w:rsidR="005077D1">
        <w:t xml:space="preserve"> </w:t>
      </w:r>
      <w:r w:rsidR="00A62B2E">
        <w:t xml:space="preserve">initial </w:t>
      </w:r>
      <w:r w:rsidR="005077D1">
        <w:t xml:space="preserve">step in </w:t>
      </w:r>
      <w:r w:rsidR="009B6012">
        <w:t xml:space="preserve">compiling </w:t>
      </w:r>
      <w:r w:rsidR="005077D1">
        <w:t xml:space="preserve">MEIP </w:t>
      </w:r>
      <w:r w:rsidR="005C5BDF">
        <w:t>involves</w:t>
      </w:r>
      <w:r w:rsidR="005077D1">
        <w:t xml:space="preserve"> </w:t>
      </w:r>
      <w:r w:rsidR="008F3E27">
        <w:t>extracting</w:t>
      </w:r>
      <w:r w:rsidRPr="009E3D5C" w:rsidR="00E1073C">
        <w:t xml:space="preserve"> information</w:t>
      </w:r>
      <w:r w:rsidRPr="009E3D5C">
        <w:t xml:space="preserve"> </w:t>
      </w:r>
      <w:r w:rsidR="005077D1">
        <w:t xml:space="preserve">from the companies’ </w:t>
      </w:r>
      <w:r w:rsidRPr="009E3D5C">
        <w:t>annual reports</w:t>
      </w:r>
      <w:r w:rsidR="005077D1">
        <w:t xml:space="preserve">.  However, information </w:t>
      </w:r>
      <w:r w:rsidR="003D4561">
        <w:t>about</w:t>
      </w:r>
      <w:r w:rsidR="005077D1">
        <w:t xml:space="preserve"> subsidiaries</w:t>
      </w:r>
      <w:r w:rsidR="00020EC4">
        <w:t xml:space="preserve"> in annual reports</w:t>
      </w:r>
      <w:r w:rsidR="005077D1">
        <w:t xml:space="preserve"> </w:t>
      </w:r>
      <w:r>
        <w:t xml:space="preserve">is often presented </w:t>
      </w:r>
      <w:r w:rsidR="00020EC4">
        <w:t>in</w:t>
      </w:r>
      <w:r w:rsidR="005077D1">
        <w:t xml:space="preserve"> </w:t>
      </w:r>
      <w:r>
        <w:t xml:space="preserve">an unstructured format, making automated data extraction a challenging task. </w:t>
      </w:r>
      <w:r w:rsidRPr="003C6B24">
        <w:t xml:space="preserve">The lack of </w:t>
      </w:r>
      <w:proofErr w:type="spellStart"/>
      <w:r w:rsidRPr="003C6B24">
        <w:t>standardi</w:t>
      </w:r>
      <w:r w:rsidR="00975F60">
        <w:t>s</w:t>
      </w:r>
      <w:r w:rsidRPr="003C6B24">
        <w:t>ed</w:t>
      </w:r>
      <w:proofErr w:type="spellEnd"/>
      <w:r w:rsidRPr="003C6B24">
        <w:t xml:space="preserve"> formatting across different reports makes it </w:t>
      </w:r>
      <w:r>
        <w:t>difficult</w:t>
      </w:r>
      <w:r w:rsidRPr="003C6B24">
        <w:t xml:space="preserve"> to design a one-size-fits-all extraction approach. </w:t>
      </w:r>
      <w:r w:rsidRPr="00C02099">
        <w:t>Tables within PDFs can vary in layout</w:t>
      </w:r>
      <w:r>
        <w:t xml:space="preserve"> and</w:t>
      </w:r>
      <w:r w:rsidRPr="00C02099">
        <w:t xml:space="preserve"> structure, requiring adaptable data extraction methods. Furthermore, the complexities of language</w:t>
      </w:r>
      <w:r>
        <w:t xml:space="preserve"> and</w:t>
      </w:r>
      <w:r w:rsidRPr="00C02099">
        <w:t xml:space="preserve"> font variations introduce potential inaccuracies during extraction, r</w:t>
      </w:r>
      <w:r>
        <w:t>equiring</w:t>
      </w:r>
      <w:r w:rsidRPr="00C02099">
        <w:t xml:space="preserve"> manual verification. These challenges culminate in a process that is not only time-consuming but also labor-intensive, requiring significant manual intervention and validation.</w:t>
      </w:r>
    </w:p>
    <w:p w:rsidR="00571698" w:rsidP="00B203D2" w:rsidRDefault="00571698" w14:paraId="06172E03" w14:textId="77777777">
      <w:pPr>
        <w:spacing w:after="0" w:line="240" w:lineRule="auto"/>
        <w:jc w:val="both"/>
      </w:pPr>
    </w:p>
    <w:p w:rsidRPr="000D4994" w:rsidR="00E216B4" w:rsidP="00175AAD" w:rsidRDefault="00E216B4" w14:paraId="28F90E30" w14:textId="0117B8BF">
      <w:pPr>
        <w:spacing w:after="0" w:line="240" w:lineRule="auto"/>
        <w:jc w:val="both"/>
      </w:pPr>
      <w:r w:rsidRPr="00EF18F0">
        <w:t xml:space="preserve">Structured filings (XBRL), which make the extraction of financial variables simpler, are now required within the European Union and </w:t>
      </w:r>
      <w:r>
        <w:t xml:space="preserve">the </w:t>
      </w:r>
      <w:r w:rsidRPr="00EF18F0">
        <w:t>United States – however</w:t>
      </w:r>
      <w:r>
        <w:t>,</w:t>
      </w:r>
      <w:r w:rsidRPr="00EF18F0">
        <w:t xml:space="preserve"> the taxonomies are not uniform, and jurisdictions </w:t>
      </w:r>
      <w:r>
        <w:t>that</w:t>
      </w:r>
      <w:r w:rsidRPr="00EF18F0">
        <w:t xml:space="preserve"> do not require structured filings still exist.</w:t>
      </w:r>
      <w:r>
        <w:t xml:space="preserve"> </w:t>
      </w:r>
    </w:p>
    <w:p w:rsidR="00571698" w:rsidP="00B203D2" w:rsidRDefault="00571698" w14:paraId="613A65DE" w14:textId="77777777">
      <w:pPr>
        <w:spacing w:after="0" w:line="240" w:lineRule="auto"/>
        <w:jc w:val="both"/>
      </w:pPr>
    </w:p>
    <w:p w:rsidR="005077D1" w:rsidP="00175AAD" w:rsidRDefault="005077D1" w14:paraId="6C985737" w14:textId="752F250F">
      <w:pPr>
        <w:spacing w:after="0" w:line="240" w:lineRule="auto"/>
        <w:jc w:val="both"/>
      </w:pPr>
      <w:r>
        <w:t xml:space="preserve">Another </w:t>
      </w:r>
      <w:r w:rsidR="00AD7620">
        <w:t xml:space="preserve">intricate </w:t>
      </w:r>
      <w:r>
        <w:t xml:space="preserve">part of the process </w:t>
      </w:r>
      <w:r w:rsidR="007A6F02">
        <w:t>involves</w:t>
      </w:r>
      <w:r w:rsidR="00E1073C">
        <w:t xml:space="preserve"> </w:t>
      </w:r>
      <w:r>
        <w:t xml:space="preserve">linking information from </w:t>
      </w:r>
      <w:r w:rsidRPr="0010516E">
        <w:t xml:space="preserve">multiple data </w:t>
      </w:r>
      <w:r w:rsidRPr="0010516E" w:rsidR="00C44BAC">
        <w:t>sources.</w:t>
      </w:r>
      <w:r>
        <w:t xml:space="preserve"> This </w:t>
      </w:r>
      <w:r w:rsidRPr="0010516E">
        <w:t xml:space="preserve">requires </w:t>
      </w:r>
      <w:r w:rsidR="00E1073C">
        <w:t xml:space="preserve">a </w:t>
      </w:r>
      <w:r w:rsidRPr="0010516E">
        <w:t xml:space="preserve">significant level of data validation </w:t>
      </w:r>
      <w:r w:rsidR="00E1073C">
        <w:t>to ensure that the links are verified. T</w:t>
      </w:r>
      <w:r w:rsidRPr="0010516E">
        <w:t>he largest proportion of the project</w:t>
      </w:r>
      <w:r>
        <w:t>'</w:t>
      </w:r>
      <w:r w:rsidRPr="0010516E">
        <w:t xml:space="preserve">s resources are spent on </w:t>
      </w:r>
      <w:r w:rsidR="00E1073C">
        <w:t xml:space="preserve">ensuring </w:t>
      </w:r>
      <w:r w:rsidRPr="0010516E">
        <w:t>that all companies are verified.</w:t>
      </w:r>
    </w:p>
    <w:p w:rsidR="00571698" w:rsidP="00B203D2" w:rsidRDefault="00571698" w14:paraId="4AD0F5D8" w14:textId="77777777">
      <w:pPr>
        <w:spacing w:after="0" w:line="240" w:lineRule="auto"/>
        <w:jc w:val="both"/>
      </w:pPr>
    </w:p>
    <w:p w:rsidR="004805B9" w:rsidP="00175AAD" w:rsidRDefault="002661D9" w14:paraId="2B75B637" w14:textId="2CAD93E1">
      <w:pPr>
        <w:spacing w:after="0" w:line="240" w:lineRule="auto"/>
        <w:jc w:val="both"/>
      </w:pPr>
      <w:r>
        <w:t>Lastly</w:t>
      </w:r>
      <w:r w:rsidR="00E1073C">
        <w:t xml:space="preserve">, the compilation of MEIP </w:t>
      </w:r>
      <w:r w:rsidR="00225675">
        <w:t>demands a</w:t>
      </w:r>
      <w:r w:rsidR="00E1073C">
        <w:t xml:space="preserve"> resource</w:t>
      </w:r>
      <w:r w:rsidR="00A74181">
        <w:t>-</w:t>
      </w:r>
      <w:r w:rsidR="00E1073C">
        <w:t xml:space="preserve">intensive IT infrastructure. A </w:t>
      </w:r>
      <w:r w:rsidR="009651BE">
        <w:t>significant amount of</w:t>
      </w:r>
      <w:r w:rsidR="00E1073C">
        <w:t xml:space="preserve"> information is assembled and verified</w:t>
      </w:r>
      <w:r w:rsidR="003B4563">
        <w:t>,</w:t>
      </w:r>
      <w:r w:rsidR="00E1073C">
        <w:t xml:space="preserve"> requi</w:t>
      </w:r>
      <w:r w:rsidR="003B4563">
        <w:t>ring</w:t>
      </w:r>
      <w:r w:rsidR="00E1073C">
        <w:t xml:space="preserve"> large storage capacity and </w:t>
      </w:r>
      <w:r w:rsidR="00CB06C5">
        <w:t>efficient data handling capabilities</w:t>
      </w:r>
      <w:r w:rsidR="00E1073C">
        <w:t>.</w:t>
      </w:r>
      <w:r w:rsidR="00602DB7">
        <w:t xml:space="preserve"> </w:t>
      </w:r>
    </w:p>
    <w:p w:rsidR="004805B9" w:rsidP="00175AAD" w:rsidRDefault="004805B9" w14:paraId="63A7A029" w14:textId="77777777">
      <w:pPr>
        <w:spacing w:after="0" w:line="240" w:lineRule="auto"/>
        <w:jc w:val="both"/>
      </w:pPr>
    </w:p>
    <w:p w:rsidR="00E216B4" w:rsidP="00175AAD" w:rsidRDefault="008B3A21" w14:paraId="65095350" w14:textId="42E148A2">
      <w:pPr>
        <w:spacing w:after="0" w:line="240" w:lineRule="auto"/>
        <w:jc w:val="both"/>
      </w:pPr>
      <w:r>
        <w:t>T</w:t>
      </w:r>
      <w:r w:rsidR="00E216B4">
        <w:t xml:space="preserve">he primary data storage mechanism, a graph database, lies outside the knowledge of </w:t>
      </w:r>
      <w:proofErr w:type="gramStart"/>
      <w:r w:rsidR="00E216B4">
        <w:t>the majority of</w:t>
      </w:r>
      <w:proofErr w:type="gramEnd"/>
      <w:r w:rsidR="00E216B4">
        <w:t xml:space="preserve"> statisticians who often feel more confident </w:t>
      </w:r>
      <w:r w:rsidR="00592245">
        <w:t xml:space="preserve">in dealing </w:t>
      </w:r>
      <w:r w:rsidR="00E216B4">
        <w:t xml:space="preserve">with tabular data. As a result, </w:t>
      </w:r>
      <w:r w:rsidRPr="00CE73B5" w:rsidR="00CE73B5">
        <w:t xml:space="preserve">it became essential to create several </w:t>
      </w:r>
      <w:proofErr w:type="spellStart"/>
      <w:r w:rsidRPr="00CE73B5" w:rsidR="00CE73B5">
        <w:t>customi</w:t>
      </w:r>
      <w:r w:rsidR="00975F60">
        <w:t>s</w:t>
      </w:r>
      <w:r w:rsidRPr="00CE73B5" w:rsidR="00CE73B5">
        <w:t>ed</w:t>
      </w:r>
      <w:proofErr w:type="spellEnd"/>
      <w:r w:rsidRPr="00CE73B5" w:rsidR="00CE73B5">
        <w:t xml:space="preserve"> interfaces </w:t>
      </w:r>
      <w:proofErr w:type="gramStart"/>
      <w:r w:rsidRPr="00CE73B5" w:rsidR="00CE73B5">
        <w:t>in order to</w:t>
      </w:r>
      <w:proofErr w:type="gramEnd"/>
      <w:r w:rsidRPr="00CE73B5" w:rsidR="00CE73B5">
        <w:t xml:space="preserve"> visualize these intricate relationships</w:t>
      </w:r>
      <w:r w:rsidR="00E216B4">
        <w:t xml:space="preserve">. </w:t>
      </w:r>
      <w:r w:rsidRPr="005072EE" w:rsidR="005072EE">
        <w:t>In hindsight</w:t>
      </w:r>
      <w:r w:rsidR="00E216B4">
        <w:t xml:space="preserve">, a focus on downstream </w:t>
      </w:r>
      <w:proofErr w:type="spellStart"/>
      <w:r w:rsidR="00E216B4">
        <w:t>visualisation</w:t>
      </w:r>
      <w:proofErr w:type="spellEnd"/>
      <w:r w:rsidR="00E216B4">
        <w:t xml:space="preserve"> and dashboards would have been more helpful </w:t>
      </w:r>
      <w:r w:rsidR="00785545">
        <w:t xml:space="preserve">in </w:t>
      </w:r>
      <w:r w:rsidR="00401EB5">
        <w:t>building an</w:t>
      </w:r>
      <w:r w:rsidR="00E216B4">
        <w:t xml:space="preserve"> understanding and </w:t>
      </w:r>
      <w:r w:rsidR="00401EB5">
        <w:t xml:space="preserve">broader </w:t>
      </w:r>
      <w:proofErr w:type="spellStart"/>
      <w:r w:rsidR="00401EB5">
        <w:t>utilisation</w:t>
      </w:r>
      <w:proofErr w:type="spellEnd"/>
      <w:r w:rsidR="00E216B4">
        <w:t xml:space="preserve"> of the tool.</w:t>
      </w:r>
    </w:p>
    <w:p w:rsidR="00E216B4" w:rsidP="00B203D2" w:rsidRDefault="00E216B4" w14:paraId="62D16BAE" w14:textId="77777777">
      <w:pPr>
        <w:spacing w:after="0" w:line="240" w:lineRule="auto"/>
        <w:rPr>
          <w:b/>
          <w:bCs/>
        </w:rPr>
      </w:pPr>
    </w:p>
    <w:p w:rsidR="00123EFB" w:rsidP="00175AAD" w:rsidRDefault="00123EFB" w14:paraId="372AE198" w14:textId="77777777">
      <w:pPr>
        <w:spacing w:after="0" w:line="240" w:lineRule="auto"/>
        <w:rPr>
          <w:b/>
          <w:bCs/>
        </w:rPr>
      </w:pPr>
    </w:p>
    <w:p w:rsidRPr="00175AAD" w:rsidR="00E216B4" w:rsidP="00B203D2" w:rsidRDefault="00E216B4" w14:paraId="4824C67C" w14:textId="6B20C278">
      <w:pPr>
        <w:spacing w:after="0" w:line="240" w:lineRule="auto"/>
        <w:rPr>
          <w:b/>
          <w:bCs/>
          <w:sz w:val="24"/>
          <w:szCs w:val="24"/>
        </w:rPr>
      </w:pPr>
      <w:r w:rsidRPr="00175AAD">
        <w:rPr>
          <w:b/>
          <w:bCs/>
          <w:sz w:val="24"/>
          <w:szCs w:val="24"/>
        </w:rPr>
        <w:t>Future perspective</w:t>
      </w:r>
    </w:p>
    <w:p w:rsidRPr="00E216B4" w:rsidR="008D11CD" w:rsidP="00175AAD" w:rsidRDefault="008D11CD" w14:paraId="21DF8744" w14:textId="77777777">
      <w:pPr>
        <w:spacing w:after="0" w:line="240" w:lineRule="auto"/>
        <w:rPr>
          <w:b/>
          <w:bCs/>
        </w:rPr>
      </w:pPr>
    </w:p>
    <w:p w:rsidRPr="00E55DFD" w:rsidR="00E216B4" w:rsidP="00175AAD" w:rsidRDefault="001C02F7" w14:paraId="24B08580" w14:textId="57AC3F19">
      <w:pPr>
        <w:spacing w:after="0" w:line="240" w:lineRule="auto"/>
        <w:jc w:val="both"/>
        <w:rPr>
          <w:rFonts w:cstheme="minorHAnsi"/>
        </w:rPr>
      </w:pPr>
      <w:r>
        <w:t>T</w:t>
      </w:r>
      <w:r w:rsidR="00E216B4">
        <w:t xml:space="preserve">he project </w:t>
      </w:r>
      <w:r w:rsidR="00B903AF">
        <w:t xml:space="preserve">is considering </w:t>
      </w:r>
      <w:r w:rsidR="00E216B4">
        <w:t xml:space="preserve">to </w:t>
      </w:r>
      <w:r w:rsidR="00B903AF">
        <w:t xml:space="preserve">further </w:t>
      </w:r>
      <w:r w:rsidRPr="00AF1EDB" w:rsidR="00E216B4">
        <w:t>expand MEIP's capabilities by</w:t>
      </w:r>
      <w:r w:rsidR="00E216B4">
        <w:t xml:space="preserve"> incorporating</w:t>
      </w:r>
      <w:r w:rsidRPr="00F74850" w:rsidR="00E216B4">
        <w:rPr>
          <w:rFonts w:cstheme="minorHAnsi"/>
        </w:rPr>
        <w:t xml:space="preserve"> media tracking to provide a live view of what is happening for each covered firm</w:t>
      </w:r>
      <w:r w:rsidR="00E216B4">
        <w:rPr>
          <w:rFonts w:cstheme="minorHAnsi"/>
        </w:rPr>
        <w:t>.</w:t>
      </w:r>
      <w:r w:rsidRPr="00F74850" w:rsidR="00E216B4">
        <w:rPr>
          <w:rFonts w:cstheme="minorHAnsi"/>
        </w:rPr>
        <w:t xml:space="preserve"> </w:t>
      </w:r>
      <w:r w:rsidRPr="002C4B06" w:rsidR="00E216B4">
        <w:rPr>
          <w:rFonts w:cstheme="minorHAnsi"/>
        </w:rPr>
        <w:t>This addition ensures that significant restructuring events are promptly captured</w:t>
      </w:r>
      <w:r w:rsidRPr="00F74850" w:rsidR="00E216B4">
        <w:rPr>
          <w:rFonts w:cstheme="minorHAnsi"/>
        </w:rPr>
        <w:t xml:space="preserve">. </w:t>
      </w:r>
      <w:r w:rsidR="00EA5E32">
        <w:rPr>
          <w:rFonts w:cstheme="minorHAnsi"/>
        </w:rPr>
        <w:t>Additionally</w:t>
      </w:r>
      <w:r w:rsidRPr="00E55DFD" w:rsidR="00E216B4">
        <w:rPr>
          <w:rFonts w:cstheme="minorHAnsi"/>
        </w:rPr>
        <w:t>,</w:t>
      </w:r>
      <w:r w:rsidR="00E216B4">
        <w:rPr>
          <w:rFonts w:cstheme="minorHAnsi"/>
        </w:rPr>
        <w:t xml:space="preserve"> m</w:t>
      </w:r>
      <w:r w:rsidRPr="00E55DFD" w:rsidR="00E216B4">
        <w:rPr>
          <w:rFonts w:cstheme="minorHAnsi"/>
        </w:rPr>
        <w:t xml:space="preserve">itigating the complexities of data extraction from annual </w:t>
      </w:r>
      <w:r w:rsidRPr="00E55DFD" w:rsidR="00E216B4">
        <w:rPr>
          <w:rFonts w:cstheme="minorHAnsi"/>
        </w:rPr>
        <w:lastRenderedPageBreak/>
        <w:t xml:space="preserve">report PDFs </w:t>
      </w:r>
      <w:r w:rsidR="00E216B4">
        <w:rPr>
          <w:rFonts w:cstheme="minorHAnsi"/>
        </w:rPr>
        <w:t>by</w:t>
      </w:r>
      <w:r w:rsidRPr="00E55DFD" w:rsidR="00E216B4">
        <w:rPr>
          <w:rFonts w:cstheme="minorHAnsi"/>
        </w:rPr>
        <w:t xml:space="preserve"> exploring advanced technological solutions and collaborative initiatives. Through this, we can streamline the extraction process, reduce labor intensiveness, and enhance the overall accuracy and efficiency of data collection.</w:t>
      </w:r>
    </w:p>
    <w:p w:rsidR="00123EFB" w:rsidP="00B203D2" w:rsidRDefault="00123EFB" w14:paraId="04B1447A" w14:textId="77777777">
      <w:pPr>
        <w:spacing w:after="0" w:line="240" w:lineRule="auto"/>
        <w:rPr>
          <w:rFonts w:cstheme="minorHAnsi"/>
        </w:rPr>
      </w:pPr>
    </w:p>
    <w:p w:rsidR="00E216B4" w:rsidP="00D575A8" w:rsidRDefault="0009715D" w14:paraId="22FE50F3" w14:textId="05FD9088">
      <w:pPr>
        <w:spacing w:after="0" w:line="240" w:lineRule="auto"/>
        <w:jc w:val="both"/>
        <w:rPr>
          <w:rFonts w:cstheme="minorHAnsi"/>
        </w:rPr>
      </w:pPr>
      <w:r>
        <w:rPr>
          <w:rFonts w:cstheme="minorHAnsi"/>
        </w:rPr>
        <w:t>Moreover</w:t>
      </w:r>
      <w:r w:rsidR="00E216B4">
        <w:rPr>
          <w:rFonts w:cstheme="minorHAnsi"/>
        </w:rPr>
        <w:t>, mi</w:t>
      </w:r>
      <w:r w:rsidRPr="00A847A8" w:rsidR="00E216B4">
        <w:rPr>
          <w:rFonts w:cstheme="minorHAnsi"/>
        </w:rPr>
        <w:t>grat</w:t>
      </w:r>
      <w:r w:rsidR="00E216B4">
        <w:rPr>
          <w:rFonts w:cstheme="minorHAnsi"/>
        </w:rPr>
        <w:t>ing</w:t>
      </w:r>
      <w:r w:rsidRPr="00A847A8" w:rsidR="00E216B4">
        <w:rPr>
          <w:rFonts w:cstheme="minorHAnsi"/>
        </w:rPr>
        <w:t xml:space="preserve"> the currently implemented graph database from in-memory to disk-based </w:t>
      </w:r>
      <w:r w:rsidR="00E216B4">
        <w:rPr>
          <w:rFonts w:cstheme="minorHAnsi"/>
        </w:rPr>
        <w:t>will provide</w:t>
      </w:r>
      <w:r w:rsidRPr="00A847A8" w:rsidR="00E216B4">
        <w:rPr>
          <w:rFonts w:cstheme="minorHAnsi"/>
        </w:rPr>
        <w:t xml:space="preserve"> a significant benefit, as resource usage will be reduced, and it offers the ability for the data to be hosted on a platform such as the UN Global Platform. This then allows for individuals outside of the UNSD and OECD to potentially join the initiative, compiling profiles on MNEs of interest to them using the tools and principles </w:t>
      </w:r>
      <w:r w:rsidR="00FF5429">
        <w:rPr>
          <w:rFonts w:cstheme="minorHAnsi"/>
        </w:rPr>
        <w:t>that</w:t>
      </w:r>
      <w:r w:rsidRPr="00A847A8" w:rsidR="00FF5429">
        <w:rPr>
          <w:rFonts w:cstheme="minorHAnsi"/>
        </w:rPr>
        <w:t xml:space="preserve"> </w:t>
      </w:r>
      <w:r w:rsidRPr="00A847A8" w:rsidR="00E216B4">
        <w:rPr>
          <w:rFonts w:cstheme="minorHAnsi"/>
        </w:rPr>
        <w:t>have already been developed.</w:t>
      </w:r>
    </w:p>
    <w:p w:rsidR="00D575A8" w:rsidP="00D575A8" w:rsidRDefault="00D575A8" w14:paraId="7703FD1D" w14:textId="77777777">
      <w:pPr>
        <w:spacing w:after="0" w:line="240" w:lineRule="auto"/>
        <w:jc w:val="both"/>
        <w:rPr>
          <w:rFonts w:cstheme="minorHAnsi"/>
        </w:rPr>
      </w:pPr>
    </w:p>
    <w:p w:rsidR="001B05D6" w:rsidP="00D575A8" w:rsidRDefault="00F42211" w14:paraId="15C37597" w14:textId="13C491CA">
      <w:pPr>
        <w:spacing w:after="0" w:line="240" w:lineRule="auto"/>
        <w:jc w:val="both"/>
        <w:rPr>
          <w:rFonts w:cstheme="minorHAnsi"/>
        </w:rPr>
      </w:pPr>
      <w:r w:rsidRPr="00F42211">
        <w:rPr>
          <w:rFonts w:cstheme="minorHAnsi"/>
        </w:rPr>
        <w:t xml:space="preserve">As for the future perspective, the Statistical Commission at its 54th session in March 2023 endorsed the global initiative on unique identifiers for businesses and encouraged countries and relevant organizations to coordinate their activities in this area </w:t>
      </w:r>
      <w:proofErr w:type="gramStart"/>
      <w:r w:rsidRPr="00F42211">
        <w:rPr>
          <w:rFonts w:cstheme="minorHAnsi"/>
        </w:rPr>
        <w:t>in an effort to</w:t>
      </w:r>
      <w:proofErr w:type="gramEnd"/>
      <w:r w:rsidRPr="00F42211">
        <w:rPr>
          <w:rFonts w:cstheme="minorHAnsi"/>
        </w:rPr>
        <w:t xml:space="preserve"> provide solid infrastructure for statistical business registers. The main objectives of the global initiative are to strengthen the transparency of businesses in countries by improving their registration</w:t>
      </w:r>
      <w:r w:rsidR="00657055">
        <w:rPr>
          <w:rFonts w:cstheme="minorHAnsi"/>
        </w:rPr>
        <w:t xml:space="preserve">, </w:t>
      </w:r>
      <w:r w:rsidRPr="00F42211">
        <w:rPr>
          <w:rFonts w:cstheme="minorHAnsi"/>
        </w:rPr>
        <w:t>improve the availability of unique business identifiers in administrative data sources in countries</w:t>
      </w:r>
      <w:r w:rsidR="00657055">
        <w:rPr>
          <w:rFonts w:cstheme="minorHAnsi"/>
        </w:rPr>
        <w:t xml:space="preserve">, </w:t>
      </w:r>
      <w:r w:rsidRPr="00F42211">
        <w:rPr>
          <w:rFonts w:cstheme="minorHAnsi"/>
        </w:rPr>
        <w:t xml:space="preserve">and promote access to and sharing of administrative data for statistical business registers. </w:t>
      </w:r>
    </w:p>
    <w:p w:rsidR="001B05D6" w:rsidP="00D575A8" w:rsidRDefault="001B05D6" w14:paraId="231C3520" w14:textId="77777777">
      <w:pPr>
        <w:spacing w:after="0" w:line="240" w:lineRule="auto"/>
        <w:jc w:val="both"/>
        <w:rPr>
          <w:rFonts w:cstheme="minorHAnsi"/>
        </w:rPr>
      </w:pPr>
    </w:p>
    <w:p w:rsidR="00BE7B5F" w:rsidP="00D575A8" w:rsidRDefault="00F42211" w14:paraId="59AD3DE8" w14:textId="6B9E5AD7">
      <w:pPr>
        <w:spacing w:after="0" w:line="240" w:lineRule="auto"/>
        <w:jc w:val="both"/>
        <w:rPr>
          <w:rFonts w:cstheme="minorHAnsi"/>
        </w:rPr>
      </w:pPr>
      <w:r w:rsidRPr="00F42211">
        <w:rPr>
          <w:rFonts w:cstheme="minorHAnsi"/>
        </w:rPr>
        <w:t xml:space="preserve">Strengthening the administrative business registration in countries and the establishment of unique identifiers for legal entities is considered an important first step in improving the statistical business registers, especially in countries where the administrative data system for businesses is not well established. Linking the global initiative of national unique identifiers </w:t>
      </w:r>
      <w:r w:rsidR="00F56B09">
        <w:rPr>
          <w:rFonts w:cstheme="minorHAnsi"/>
        </w:rPr>
        <w:t xml:space="preserve">and the mapping to global </w:t>
      </w:r>
      <w:r w:rsidR="006F471A">
        <w:rPr>
          <w:rFonts w:cstheme="minorHAnsi"/>
        </w:rPr>
        <w:t>identifiers</w:t>
      </w:r>
      <w:r w:rsidR="00F56B09">
        <w:rPr>
          <w:rFonts w:cstheme="minorHAnsi"/>
        </w:rPr>
        <w:t xml:space="preserve"> </w:t>
      </w:r>
      <w:r w:rsidRPr="00F42211">
        <w:rPr>
          <w:rFonts w:cstheme="minorHAnsi"/>
        </w:rPr>
        <w:t xml:space="preserve">will facilitate the establishment and maintenance of MEIP containing the legal structure of multinationals. </w:t>
      </w:r>
    </w:p>
    <w:p w:rsidR="00BE7B5F" w:rsidP="00D575A8" w:rsidRDefault="00BE7B5F" w14:paraId="62C8E551" w14:textId="77777777">
      <w:pPr>
        <w:spacing w:after="0" w:line="240" w:lineRule="auto"/>
        <w:jc w:val="both"/>
        <w:rPr>
          <w:rFonts w:cstheme="minorHAnsi"/>
        </w:rPr>
      </w:pPr>
    </w:p>
    <w:p w:rsidR="00D575A8" w:rsidP="00175AAD" w:rsidRDefault="00E92A38" w14:paraId="3D9F201B" w14:textId="44D61AB4">
      <w:pPr>
        <w:spacing w:after="0" w:line="240" w:lineRule="auto"/>
        <w:jc w:val="both"/>
        <w:rPr>
          <w:rFonts w:cstheme="minorHAnsi"/>
        </w:rPr>
      </w:pPr>
      <w:r>
        <w:rPr>
          <w:rFonts w:cstheme="minorHAnsi"/>
        </w:rPr>
        <w:t>Overall</w:t>
      </w:r>
      <w:r w:rsidR="00A70771">
        <w:rPr>
          <w:rFonts w:cstheme="minorHAnsi"/>
        </w:rPr>
        <w:t xml:space="preserve">, </w:t>
      </w:r>
      <w:r w:rsidR="00FB7B75">
        <w:rPr>
          <w:rFonts w:cstheme="minorHAnsi"/>
        </w:rPr>
        <w:t>a promising</w:t>
      </w:r>
      <w:r w:rsidRPr="00F42211" w:rsidR="00F42211">
        <w:rPr>
          <w:rFonts w:cstheme="minorHAnsi"/>
        </w:rPr>
        <w:t xml:space="preserve"> opportunity </w:t>
      </w:r>
      <w:r w:rsidR="00594514">
        <w:rPr>
          <w:rFonts w:cstheme="minorHAnsi"/>
        </w:rPr>
        <w:t xml:space="preserve">lies ahead </w:t>
      </w:r>
      <w:r w:rsidR="00094271">
        <w:rPr>
          <w:rFonts w:cstheme="minorHAnsi"/>
        </w:rPr>
        <w:t xml:space="preserve">in exploring how </w:t>
      </w:r>
      <w:r w:rsidR="00AD7AF9">
        <w:rPr>
          <w:rFonts w:cstheme="minorHAnsi"/>
        </w:rPr>
        <w:t>MEIP and</w:t>
      </w:r>
      <w:r w:rsidR="00EC34FE">
        <w:rPr>
          <w:rFonts w:cstheme="minorHAnsi"/>
        </w:rPr>
        <w:t xml:space="preserve"> the</w:t>
      </w:r>
      <w:r w:rsidRPr="00F42211" w:rsidR="00F42211">
        <w:rPr>
          <w:rFonts w:cstheme="minorHAnsi"/>
        </w:rPr>
        <w:t xml:space="preserve"> global initiative</w:t>
      </w:r>
      <w:r w:rsidR="004832E0">
        <w:rPr>
          <w:rFonts w:cstheme="minorHAnsi"/>
        </w:rPr>
        <w:t xml:space="preserve"> on unique identifiers</w:t>
      </w:r>
      <w:r w:rsidRPr="00F42211" w:rsidR="00F42211">
        <w:rPr>
          <w:rFonts w:cstheme="minorHAnsi"/>
        </w:rPr>
        <w:t xml:space="preserve"> </w:t>
      </w:r>
      <w:r w:rsidR="00561FFA">
        <w:rPr>
          <w:rFonts w:cstheme="minorHAnsi"/>
        </w:rPr>
        <w:t>could effectively contribute to</w:t>
      </w:r>
      <w:r w:rsidRPr="00F42211" w:rsidR="00F42211">
        <w:rPr>
          <w:rFonts w:cstheme="minorHAnsi"/>
        </w:rPr>
        <w:t xml:space="preserve"> the development of a robust infrastructure </w:t>
      </w:r>
      <w:r w:rsidR="00561FFA">
        <w:rPr>
          <w:rFonts w:cstheme="minorHAnsi"/>
        </w:rPr>
        <w:t>for issuing</w:t>
      </w:r>
      <w:r w:rsidRPr="00F42211" w:rsidR="00F42211">
        <w:rPr>
          <w:rFonts w:cstheme="minorHAnsi"/>
        </w:rPr>
        <w:t xml:space="preserve"> identifiers at </w:t>
      </w:r>
      <w:r w:rsidR="00561FFA">
        <w:rPr>
          <w:rFonts w:cstheme="minorHAnsi"/>
        </w:rPr>
        <w:t>both</w:t>
      </w:r>
      <w:r w:rsidRPr="00F42211" w:rsidR="00F42211">
        <w:rPr>
          <w:rFonts w:cstheme="minorHAnsi"/>
        </w:rPr>
        <w:t xml:space="preserve"> national and interna</w:t>
      </w:r>
      <w:r w:rsidR="00933697">
        <w:rPr>
          <w:rFonts w:cstheme="minorHAnsi"/>
        </w:rPr>
        <w:t>tiona</w:t>
      </w:r>
      <w:r w:rsidRPr="00F42211" w:rsidR="00F42211">
        <w:rPr>
          <w:rFonts w:cstheme="minorHAnsi"/>
        </w:rPr>
        <w:t>l level</w:t>
      </w:r>
      <w:r w:rsidR="00A2608F">
        <w:rPr>
          <w:rFonts w:cstheme="minorHAnsi"/>
        </w:rPr>
        <w:t>s</w:t>
      </w:r>
      <w:r w:rsidRPr="00F42211" w:rsidR="00F42211">
        <w:rPr>
          <w:rFonts w:cstheme="minorHAnsi"/>
        </w:rPr>
        <w:t>.</w:t>
      </w:r>
    </w:p>
    <w:p w:rsidR="00EE19D3" w:rsidP="00175AAD" w:rsidRDefault="00EE19D3" w14:paraId="64CB50C4" w14:textId="321232BE">
      <w:pPr>
        <w:spacing w:after="0" w:line="240" w:lineRule="auto"/>
        <w:jc w:val="both"/>
        <w:rPr>
          <w:rFonts w:cstheme="minorHAnsi"/>
        </w:rPr>
      </w:pPr>
    </w:p>
    <w:p w:rsidR="00EE19D3" w:rsidP="00175AAD" w:rsidRDefault="00EE19D3" w14:paraId="7F316029" w14:textId="56667372">
      <w:pPr>
        <w:spacing w:after="0" w:line="240" w:lineRule="auto"/>
        <w:jc w:val="both"/>
        <w:rPr>
          <w:rFonts w:cstheme="minorHAnsi"/>
        </w:rPr>
      </w:pPr>
    </w:p>
    <w:p w:rsidR="00EE19D3" w:rsidP="00175AAD" w:rsidRDefault="00EE19D3" w14:paraId="3367B9A0" w14:textId="77777777">
      <w:pPr>
        <w:spacing w:after="0" w:line="240" w:lineRule="auto"/>
        <w:jc w:val="both"/>
        <w:rPr>
          <w:rFonts w:cstheme="minorHAnsi"/>
        </w:rPr>
      </w:pPr>
    </w:p>
    <w:p w:rsidR="00EE19D3" w:rsidP="00EE19D3" w:rsidRDefault="00EE19D3" w14:paraId="123804EE" w14:textId="2DFCFC66">
      <w:pPr>
        <w:spacing w:after="0" w:line="240" w:lineRule="auto"/>
        <w:jc w:val="center"/>
        <w:rPr>
          <w:b/>
          <w:bCs/>
          <w:sz w:val="24"/>
          <w:szCs w:val="24"/>
        </w:rPr>
      </w:pPr>
      <w:r>
        <w:rPr>
          <w:b/>
          <w:bCs/>
          <w:sz w:val="24"/>
          <w:szCs w:val="24"/>
        </w:rPr>
        <w:t>Acknowledgment</w:t>
      </w:r>
    </w:p>
    <w:p w:rsidR="00EE19D3" w:rsidP="00175AAD" w:rsidRDefault="00EE19D3" w14:paraId="4E9061D9" w14:textId="32FC5684">
      <w:pPr>
        <w:spacing w:after="0" w:line="240" w:lineRule="auto"/>
        <w:jc w:val="both"/>
        <w:rPr>
          <w:b/>
          <w:bCs/>
          <w:sz w:val="24"/>
          <w:szCs w:val="24"/>
        </w:rPr>
      </w:pPr>
    </w:p>
    <w:p w:rsidRPr="00A847A8" w:rsidR="00EE19D3" w:rsidP="00EE19D3" w:rsidRDefault="00EE19D3" w14:paraId="158FD382" w14:textId="6E877222">
      <w:pPr>
        <w:spacing w:after="0" w:line="240" w:lineRule="auto"/>
        <w:jc w:val="both"/>
        <w:rPr>
          <w:rFonts w:cstheme="minorHAnsi"/>
        </w:rPr>
      </w:pPr>
      <w:r w:rsidRPr="00EE19D3">
        <w:rPr>
          <w:rFonts w:cstheme="minorHAnsi"/>
        </w:rPr>
        <w:t>We thank Ilaria Di Matteo</w:t>
      </w:r>
      <w:r w:rsidR="00F42AA9">
        <w:rPr>
          <w:rFonts w:cstheme="minorHAnsi"/>
        </w:rPr>
        <w:t xml:space="preserve">, </w:t>
      </w:r>
      <w:r w:rsidRPr="00EE19D3">
        <w:rPr>
          <w:rFonts w:cstheme="minorHAnsi"/>
        </w:rPr>
        <w:t>Julian Chow</w:t>
      </w:r>
      <w:r w:rsidR="00F42AA9">
        <w:rPr>
          <w:rFonts w:cstheme="minorHAnsi"/>
        </w:rPr>
        <w:t xml:space="preserve"> and Annabelle </w:t>
      </w:r>
      <w:proofErr w:type="spellStart"/>
      <w:r w:rsidR="00F42AA9">
        <w:rPr>
          <w:rFonts w:cstheme="minorHAnsi"/>
        </w:rPr>
        <w:t>Mourougane</w:t>
      </w:r>
      <w:proofErr w:type="spellEnd"/>
      <w:r w:rsidRPr="00EE19D3">
        <w:rPr>
          <w:rFonts w:cstheme="minorHAnsi"/>
        </w:rPr>
        <w:t xml:space="preserve"> for providing their invaluable advice and insightful comments throughout the preparation of this paper.</w:t>
      </w:r>
    </w:p>
    <w:sectPr w:rsidRPr="00A847A8" w:rsidR="00EE19D3">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66F" w:rsidP="00E216B4" w:rsidRDefault="001F066F" w14:paraId="0AFC2B41" w14:textId="77777777">
      <w:pPr>
        <w:spacing w:after="0" w:line="240" w:lineRule="auto"/>
      </w:pPr>
      <w:r>
        <w:separator/>
      </w:r>
    </w:p>
  </w:endnote>
  <w:endnote w:type="continuationSeparator" w:id="0">
    <w:p w:rsidR="001F066F" w:rsidP="00E216B4" w:rsidRDefault="001F066F" w14:paraId="29F05A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564220"/>
      <w:docPartObj>
        <w:docPartGallery w:val="Page Numbers (Bottom of Page)"/>
        <w:docPartUnique/>
      </w:docPartObj>
    </w:sdtPr>
    <w:sdtEndPr>
      <w:rPr>
        <w:noProof/>
      </w:rPr>
    </w:sdtEndPr>
    <w:sdtContent>
      <w:p w:rsidR="005077D1" w:rsidP="00175AAD" w:rsidRDefault="005077D1" w14:paraId="6E862862" w14:textId="377C8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66F" w:rsidP="00E216B4" w:rsidRDefault="001F066F" w14:paraId="6E285CA1" w14:textId="77777777">
      <w:pPr>
        <w:spacing w:after="0" w:line="240" w:lineRule="auto"/>
      </w:pPr>
      <w:r>
        <w:separator/>
      </w:r>
    </w:p>
  </w:footnote>
  <w:footnote w:type="continuationSeparator" w:id="0">
    <w:p w:rsidR="001F066F" w:rsidP="00E216B4" w:rsidRDefault="001F066F" w14:paraId="645CDDF2" w14:textId="77777777">
      <w:pPr>
        <w:spacing w:after="0" w:line="240" w:lineRule="auto"/>
      </w:pPr>
      <w:r>
        <w:continuationSeparator/>
      </w:r>
    </w:p>
  </w:footnote>
  <w:footnote w:id="1">
    <w:p w:rsidR="00647E61" w:rsidRDefault="00647E61" w14:paraId="6AC1EEB8" w14:textId="7B1D77FE">
      <w:pPr>
        <w:pStyle w:val="FootnoteText"/>
      </w:pPr>
      <w:r>
        <w:rPr>
          <w:rStyle w:val="FootnoteReference"/>
        </w:rPr>
        <w:footnoteRef/>
      </w:r>
      <w:r>
        <w:t xml:space="preserve"> See decision 46/107 of </w:t>
      </w:r>
      <w:r w:rsidR="00BC571B">
        <w:t xml:space="preserve">E/2015/24 E/CN.3/2015/40 available at </w:t>
      </w:r>
      <w:proofErr w:type="gramStart"/>
      <w:r w:rsidRPr="00BC571B" w:rsidR="00BC571B">
        <w:t>https://unstats.un.org/UNSDWebsite/statcom/session_46/documents/statcom-2015-46th-report-E.pdf</w:t>
      </w:r>
      <w:proofErr w:type="gramEnd"/>
    </w:p>
  </w:footnote>
  <w:footnote w:id="2">
    <w:p w:rsidR="00DF3454" w:rsidP="00DF3454" w:rsidRDefault="007C4379" w14:paraId="52F65FC3" w14:textId="77777777">
      <w:pPr>
        <w:pStyle w:val="FootnoteText"/>
      </w:pPr>
      <w:r>
        <w:rPr>
          <w:rStyle w:val="FootnoteReference"/>
        </w:rPr>
        <w:footnoteRef/>
      </w:r>
      <w:r>
        <w:t xml:space="preserve"> </w:t>
      </w:r>
      <w:r w:rsidR="00DF3454">
        <w:t>Access the information from either the OECD or UNSD at:</w:t>
      </w:r>
    </w:p>
    <w:p w:rsidRPr="00175AAD" w:rsidR="00DF3454" w:rsidP="00DF3454" w:rsidRDefault="00DF3454" w14:paraId="50C4ADBB" w14:textId="77777777">
      <w:pPr>
        <w:pStyle w:val="FootnoteText"/>
        <w:rPr>
          <w:lang w:val="es-ES"/>
        </w:rPr>
      </w:pPr>
      <w:r w:rsidRPr="00175AAD">
        <w:rPr>
          <w:lang w:val="es-ES"/>
        </w:rPr>
        <w:t xml:space="preserve">OECD: </w:t>
      </w:r>
      <w:hyperlink w:history="1" r:id="rId1">
        <w:r w:rsidRPr="00175AAD">
          <w:rPr>
            <w:rStyle w:val="Hyperlink"/>
            <w:lang w:val="es-ES"/>
          </w:rPr>
          <w:t>https://www.oecd.org/sdd/its/mne-platform</w:t>
        </w:r>
      </w:hyperlink>
    </w:p>
    <w:p w:rsidR="007B049D" w:rsidRDefault="00DF3454" w14:paraId="4FE855E6" w14:textId="6866EB34">
      <w:pPr>
        <w:pStyle w:val="FootnoteText"/>
      </w:pPr>
      <w:r>
        <w:t xml:space="preserve">UNSD: </w:t>
      </w:r>
      <w:hyperlink w:history="1" r:id="rId2">
        <w:r w:rsidRPr="00E216B4">
          <w:rPr>
            <w:rStyle w:val="Hyperlink"/>
          </w:rPr>
          <w:t>https://unstats.un.org/unsd/business-stat/mne-platform</w:t>
        </w:r>
      </w:hyperlink>
    </w:p>
  </w:footnote>
  <w:footnote w:id="3">
    <w:p w:rsidRPr="0035543F" w:rsidR="0035543F" w:rsidRDefault="0035543F" w14:paraId="567E3D3E" w14:textId="016E1015">
      <w:pPr>
        <w:pStyle w:val="FootnoteText"/>
      </w:pPr>
      <w:r>
        <w:rPr>
          <w:rStyle w:val="FootnoteReference"/>
        </w:rPr>
        <w:footnoteRef/>
      </w:r>
      <w:r w:rsidRPr="0035543F">
        <w:t xml:space="preserve"> Available at</w:t>
      </w:r>
      <w:r w:rsidRPr="00175AAD">
        <w:t xml:space="preserve"> </w:t>
      </w:r>
      <w:r w:rsidRPr="0035543F">
        <w:t>https://oecdstatistics.blog/2022/11/14/to-leave-or-not-to-leave-how-are-the-worlds-largest-mnes-responding-to-the-war-in-ukraine/)</w:t>
      </w:r>
    </w:p>
  </w:footnote>
  <w:footnote w:id="4">
    <w:p w:rsidR="0035543F" w:rsidRDefault="0035543F" w14:paraId="6517405E" w14:textId="4A83D43D">
      <w:pPr>
        <w:pStyle w:val="FootnoteText"/>
      </w:pPr>
      <w:r>
        <w:rPr>
          <w:rStyle w:val="FootnoteReference"/>
        </w:rPr>
        <w:footnoteRef/>
      </w:r>
      <w:r>
        <w:t xml:space="preserve"> https://www.oecd.org/gender/data/what-big-data-can-tell-us-about-women-on-boards.htm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69F"/>
    <w:multiLevelType w:val="hybridMultilevel"/>
    <w:tmpl w:val="6114D8EC"/>
    <w:lvl w:ilvl="0" w:tplc="F1AA9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837FB"/>
    <w:multiLevelType w:val="hybridMultilevel"/>
    <w:tmpl w:val="8A3808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C1A608F"/>
    <w:multiLevelType w:val="hybridMultilevel"/>
    <w:tmpl w:val="B6403880"/>
    <w:lvl w:ilvl="0" w:tplc="7E20EEC6">
      <w:numFmt w:val="bullet"/>
      <w:lvlText w:val="-"/>
      <w:lvlJc w:val="left"/>
      <w:pPr>
        <w:ind w:left="411"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71076507">
    <w:abstractNumId w:val="1"/>
  </w:num>
  <w:num w:numId="2" w16cid:durableId="1613632326">
    <w:abstractNumId w:val="2"/>
  </w:num>
  <w:num w:numId="3" w16cid:durableId="18895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MwMzQzNQYiYyNjUyUdpeDU4uLM/DyQAvNaAFzr2xIsAAAA"/>
  </w:docVars>
  <w:rsids>
    <w:rsidRoot w:val="00E216B4"/>
    <w:rsid w:val="00003F4F"/>
    <w:rsid w:val="00005E7F"/>
    <w:rsid w:val="00020EC4"/>
    <w:rsid w:val="00030F9F"/>
    <w:rsid w:val="00041185"/>
    <w:rsid w:val="00042D0C"/>
    <w:rsid w:val="000517F3"/>
    <w:rsid w:val="00081F94"/>
    <w:rsid w:val="0008592F"/>
    <w:rsid w:val="0009070D"/>
    <w:rsid w:val="00091FB1"/>
    <w:rsid w:val="00094271"/>
    <w:rsid w:val="0009715D"/>
    <w:rsid w:val="000B59DF"/>
    <w:rsid w:val="000B72CC"/>
    <w:rsid w:val="000E15BF"/>
    <w:rsid w:val="000E6CB0"/>
    <w:rsid w:val="00103AF1"/>
    <w:rsid w:val="00104E74"/>
    <w:rsid w:val="00112DD4"/>
    <w:rsid w:val="001228DF"/>
    <w:rsid w:val="00123EFB"/>
    <w:rsid w:val="001262AB"/>
    <w:rsid w:val="00131522"/>
    <w:rsid w:val="00131DE1"/>
    <w:rsid w:val="001361FA"/>
    <w:rsid w:val="001552CB"/>
    <w:rsid w:val="00173CD9"/>
    <w:rsid w:val="00175AAD"/>
    <w:rsid w:val="001A6DFD"/>
    <w:rsid w:val="001B05D6"/>
    <w:rsid w:val="001C02F7"/>
    <w:rsid w:val="001C34C2"/>
    <w:rsid w:val="001D55B5"/>
    <w:rsid w:val="001F066F"/>
    <w:rsid w:val="00225675"/>
    <w:rsid w:val="002417A0"/>
    <w:rsid w:val="00244FE3"/>
    <w:rsid w:val="00255F3B"/>
    <w:rsid w:val="002661D9"/>
    <w:rsid w:val="00274D24"/>
    <w:rsid w:val="00281B40"/>
    <w:rsid w:val="00291AAA"/>
    <w:rsid w:val="00293280"/>
    <w:rsid w:val="00295073"/>
    <w:rsid w:val="002A10BD"/>
    <w:rsid w:val="002B7500"/>
    <w:rsid w:val="002C2960"/>
    <w:rsid w:val="002C2EDB"/>
    <w:rsid w:val="002C6920"/>
    <w:rsid w:val="002C6BBD"/>
    <w:rsid w:val="002C6F91"/>
    <w:rsid w:val="002D0299"/>
    <w:rsid w:val="002D1074"/>
    <w:rsid w:val="002E0486"/>
    <w:rsid w:val="002E0F74"/>
    <w:rsid w:val="002E73A3"/>
    <w:rsid w:val="002F08A9"/>
    <w:rsid w:val="002F514D"/>
    <w:rsid w:val="002F532A"/>
    <w:rsid w:val="00300D1E"/>
    <w:rsid w:val="00336D31"/>
    <w:rsid w:val="00341E9A"/>
    <w:rsid w:val="003440C1"/>
    <w:rsid w:val="00344647"/>
    <w:rsid w:val="00345B24"/>
    <w:rsid w:val="00353F4B"/>
    <w:rsid w:val="0035543F"/>
    <w:rsid w:val="00357CCD"/>
    <w:rsid w:val="00364261"/>
    <w:rsid w:val="00377851"/>
    <w:rsid w:val="003A4CAC"/>
    <w:rsid w:val="003B138A"/>
    <w:rsid w:val="003B4563"/>
    <w:rsid w:val="003D22F7"/>
    <w:rsid w:val="003D4561"/>
    <w:rsid w:val="003D7B46"/>
    <w:rsid w:val="003E59AF"/>
    <w:rsid w:val="003F39DF"/>
    <w:rsid w:val="003F7CE4"/>
    <w:rsid w:val="00400FD0"/>
    <w:rsid w:val="00401EB5"/>
    <w:rsid w:val="0042041E"/>
    <w:rsid w:val="0042545D"/>
    <w:rsid w:val="0043138A"/>
    <w:rsid w:val="00432D9C"/>
    <w:rsid w:val="004434EC"/>
    <w:rsid w:val="004449BC"/>
    <w:rsid w:val="00446353"/>
    <w:rsid w:val="004520C2"/>
    <w:rsid w:val="00470162"/>
    <w:rsid w:val="00471130"/>
    <w:rsid w:val="0047153C"/>
    <w:rsid w:val="00477FDD"/>
    <w:rsid w:val="004805B9"/>
    <w:rsid w:val="004832E0"/>
    <w:rsid w:val="004A3428"/>
    <w:rsid w:val="004B2C36"/>
    <w:rsid w:val="004F26A0"/>
    <w:rsid w:val="004F73D1"/>
    <w:rsid w:val="005061CC"/>
    <w:rsid w:val="005072EE"/>
    <w:rsid w:val="005077D1"/>
    <w:rsid w:val="00513009"/>
    <w:rsid w:val="00523F4D"/>
    <w:rsid w:val="005312B0"/>
    <w:rsid w:val="00537FE1"/>
    <w:rsid w:val="00556F81"/>
    <w:rsid w:val="00561FFA"/>
    <w:rsid w:val="00562EA6"/>
    <w:rsid w:val="005656FD"/>
    <w:rsid w:val="00567762"/>
    <w:rsid w:val="00571698"/>
    <w:rsid w:val="005851E9"/>
    <w:rsid w:val="00592245"/>
    <w:rsid w:val="00594514"/>
    <w:rsid w:val="005C5BDF"/>
    <w:rsid w:val="005F2C29"/>
    <w:rsid w:val="005F6754"/>
    <w:rsid w:val="00602DB7"/>
    <w:rsid w:val="00627A92"/>
    <w:rsid w:val="00643947"/>
    <w:rsid w:val="00647E61"/>
    <w:rsid w:val="00651A0F"/>
    <w:rsid w:val="00657055"/>
    <w:rsid w:val="006660CF"/>
    <w:rsid w:val="00666202"/>
    <w:rsid w:val="006A3832"/>
    <w:rsid w:val="006A57BB"/>
    <w:rsid w:val="006B7D9B"/>
    <w:rsid w:val="006E7E85"/>
    <w:rsid w:val="006F13E6"/>
    <w:rsid w:val="006F1BC5"/>
    <w:rsid w:val="006F471A"/>
    <w:rsid w:val="00701C9A"/>
    <w:rsid w:val="0070344B"/>
    <w:rsid w:val="00712299"/>
    <w:rsid w:val="00712BE1"/>
    <w:rsid w:val="007250EF"/>
    <w:rsid w:val="0076123F"/>
    <w:rsid w:val="007664BE"/>
    <w:rsid w:val="00785545"/>
    <w:rsid w:val="007A3305"/>
    <w:rsid w:val="007A6F02"/>
    <w:rsid w:val="007B049D"/>
    <w:rsid w:val="007C3A2D"/>
    <w:rsid w:val="007C4379"/>
    <w:rsid w:val="007D2B40"/>
    <w:rsid w:val="007F0077"/>
    <w:rsid w:val="007F0FAC"/>
    <w:rsid w:val="007F45B8"/>
    <w:rsid w:val="00807913"/>
    <w:rsid w:val="00823728"/>
    <w:rsid w:val="008359D5"/>
    <w:rsid w:val="00837EC3"/>
    <w:rsid w:val="00841FE6"/>
    <w:rsid w:val="00857717"/>
    <w:rsid w:val="00860424"/>
    <w:rsid w:val="00861AFF"/>
    <w:rsid w:val="00870264"/>
    <w:rsid w:val="00892F1E"/>
    <w:rsid w:val="008A015B"/>
    <w:rsid w:val="008A4AA7"/>
    <w:rsid w:val="008A5F50"/>
    <w:rsid w:val="008B3A21"/>
    <w:rsid w:val="008C369B"/>
    <w:rsid w:val="008D11CD"/>
    <w:rsid w:val="008F3E27"/>
    <w:rsid w:val="008F56A8"/>
    <w:rsid w:val="00913C0C"/>
    <w:rsid w:val="009257C9"/>
    <w:rsid w:val="00933697"/>
    <w:rsid w:val="009351D4"/>
    <w:rsid w:val="00942EEA"/>
    <w:rsid w:val="00955D8B"/>
    <w:rsid w:val="00956165"/>
    <w:rsid w:val="00957271"/>
    <w:rsid w:val="00963A7E"/>
    <w:rsid w:val="009651BE"/>
    <w:rsid w:val="00971AFA"/>
    <w:rsid w:val="00975F60"/>
    <w:rsid w:val="00981E6F"/>
    <w:rsid w:val="009A5597"/>
    <w:rsid w:val="009B2195"/>
    <w:rsid w:val="009B6012"/>
    <w:rsid w:val="009B6C1B"/>
    <w:rsid w:val="009C35A5"/>
    <w:rsid w:val="009D7D6A"/>
    <w:rsid w:val="00A049DF"/>
    <w:rsid w:val="00A06D99"/>
    <w:rsid w:val="00A07697"/>
    <w:rsid w:val="00A15D3F"/>
    <w:rsid w:val="00A208DB"/>
    <w:rsid w:val="00A255DC"/>
    <w:rsid w:val="00A2608F"/>
    <w:rsid w:val="00A3183E"/>
    <w:rsid w:val="00A40B45"/>
    <w:rsid w:val="00A506A2"/>
    <w:rsid w:val="00A562D3"/>
    <w:rsid w:val="00A57418"/>
    <w:rsid w:val="00A62B2E"/>
    <w:rsid w:val="00A70771"/>
    <w:rsid w:val="00A74181"/>
    <w:rsid w:val="00AA0F09"/>
    <w:rsid w:val="00AD7620"/>
    <w:rsid w:val="00AD7AF9"/>
    <w:rsid w:val="00AE1F4E"/>
    <w:rsid w:val="00AF5BA1"/>
    <w:rsid w:val="00B100C2"/>
    <w:rsid w:val="00B160B8"/>
    <w:rsid w:val="00B203D2"/>
    <w:rsid w:val="00B22AF9"/>
    <w:rsid w:val="00B378F4"/>
    <w:rsid w:val="00B4086A"/>
    <w:rsid w:val="00B47304"/>
    <w:rsid w:val="00B531B9"/>
    <w:rsid w:val="00B7238D"/>
    <w:rsid w:val="00B73856"/>
    <w:rsid w:val="00B82B6C"/>
    <w:rsid w:val="00B903AF"/>
    <w:rsid w:val="00BA62CC"/>
    <w:rsid w:val="00BA708E"/>
    <w:rsid w:val="00BB7161"/>
    <w:rsid w:val="00BC571B"/>
    <w:rsid w:val="00BC6970"/>
    <w:rsid w:val="00BD2AE7"/>
    <w:rsid w:val="00BE7B5F"/>
    <w:rsid w:val="00BF5D89"/>
    <w:rsid w:val="00C11138"/>
    <w:rsid w:val="00C34346"/>
    <w:rsid w:val="00C44BAC"/>
    <w:rsid w:val="00C545E0"/>
    <w:rsid w:val="00C57900"/>
    <w:rsid w:val="00C91014"/>
    <w:rsid w:val="00C965A5"/>
    <w:rsid w:val="00CB06C5"/>
    <w:rsid w:val="00CB12B6"/>
    <w:rsid w:val="00CB53E4"/>
    <w:rsid w:val="00CD5230"/>
    <w:rsid w:val="00CE73B5"/>
    <w:rsid w:val="00CE7C8A"/>
    <w:rsid w:val="00CF08C8"/>
    <w:rsid w:val="00CF5426"/>
    <w:rsid w:val="00D02D79"/>
    <w:rsid w:val="00D07D2A"/>
    <w:rsid w:val="00D27168"/>
    <w:rsid w:val="00D575A8"/>
    <w:rsid w:val="00D644F0"/>
    <w:rsid w:val="00D800AC"/>
    <w:rsid w:val="00D93488"/>
    <w:rsid w:val="00DA0AFA"/>
    <w:rsid w:val="00DA764B"/>
    <w:rsid w:val="00DB6343"/>
    <w:rsid w:val="00DC5BB0"/>
    <w:rsid w:val="00DD4DC9"/>
    <w:rsid w:val="00DD55D5"/>
    <w:rsid w:val="00DD6945"/>
    <w:rsid w:val="00DF3454"/>
    <w:rsid w:val="00E0792F"/>
    <w:rsid w:val="00E1073C"/>
    <w:rsid w:val="00E216B4"/>
    <w:rsid w:val="00E3475D"/>
    <w:rsid w:val="00E374A3"/>
    <w:rsid w:val="00E846B2"/>
    <w:rsid w:val="00E905B8"/>
    <w:rsid w:val="00E92A38"/>
    <w:rsid w:val="00EA3719"/>
    <w:rsid w:val="00EA3E8E"/>
    <w:rsid w:val="00EA5E32"/>
    <w:rsid w:val="00EB702B"/>
    <w:rsid w:val="00EC34FE"/>
    <w:rsid w:val="00EE19D3"/>
    <w:rsid w:val="00EF3272"/>
    <w:rsid w:val="00F074A9"/>
    <w:rsid w:val="00F11486"/>
    <w:rsid w:val="00F11929"/>
    <w:rsid w:val="00F15D84"/>
    <w:rsid w:val="00F21910"/>
    <w:rsid w:val="00F42211"/>
    <w:rsid w:val="00F42AA9"/>
    <w:rsid w:val="00F42EA2"/>
    <w:rsid w:val="00F52767"/>
    <w:rsid w:val="00F552BC"/>
    <w:rsid w:val="00F56B09"/>
    <w:rsid w:val="00F67F37"/>
    <w:rsid w:val="00F80018"/>
    <w:rsid w:val="00F8289E"/>
    <w:rsid w:val="00FB6D54"/>
    <w:rsid w:val="00FB7B75"/>
    <w:rsid w:val="00FC52E6"/>
    <w:rsid w:val="00FD3276"/>
    <w:rsid w:val="00FE781A"/>
    <w:rsid w:val="00FF23A8"/>
    <w:rsid w:val="00FF2BBA"/>
    <w:rsid w:val="00FF5429"/>
    <w:rsid w:val="1A009A9F"/>
    <w:rsid w:val="2E7B13E2"/>
    <w:rsid w:val="498B4F5F"/>
    <w:rsid w:val="6E27488C"/>
    <w:rsid w:val="7F3374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61C7"/>
  <w15:chartTrackingRefBased/>
  <w15:docId w15:val="{C5724BB0-AFBB-4CEA-B753-DA2FF738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16B4"/>
  </w:style>
  <w:style w:type="paragraph" w:styleId="Heading1">
    <w:name w:val="heading 1"/>
    <w:basedOn w:val="Normal"/>
    <w:next w:val="Normal"/>
    <w:link w:val="Heading1Char"/>
    <w:uiPriority w:val="9"/>
    <w:qFormat/>
    <w:rsid w:val="0095616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E216B4"/>
    <w:pPr>
      <w:keepNext/>
      <w:tabs>
        <w:tab w:val="left" w:pos="850"/>
        <w:tab w:val="left" w:pos="1191"/>
        <w:tab w:val="left" w:pos="1531"/>
      </w:tabs>
      <w:spacing w:before="240" w:after="240" w:line="240" w:lineRule="auto"/>
      <w:jc w:val="both"/>
      <w:outlineLvl w:val="1"/>
    </w:pPr>
    <w:rPr>
      <w:rFonts w:ascii="Times New Roman" w:hAnsi="Times New Roman" w:cs="Times New Roman"/>
      <w:b/>
      <w:bCs/>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216B4"/>
    <w:pPr>
      <w:tabs>
        <w:tab w:val="left" w:pos="850"/>
        <w:tab w:val="left" w:pos="1191"/>
        <w:tab w:val="left" w:pos="1531"/>
      </w:tabs>
      <w:spacing w:after="0" w:line="240" w:lineRule="auto"/>
      <w:ind w:left="720"/>
      <w:contextualSpacing/>
      <w:jc w:val="both"/>
    </w:pPr>
    <w:rPr>
      <w:rFonts w:ascii="Times New Roman" w:hAnsi="Times New Roman" w:cs="Times New Roman"/>
      <w:lang w:val="en-GB" w:eastAsia="zh-CN"/>
    </w:rPr>
  </w:style>
  <w:style w:type="character" w:styleId="Hyperlink">
    <w:name w:val="Hyperlink"/>
    <w:basedOn w:val="DefaultParagraphFont"/>
    <w:uiPriority w:val="99"/>
    <w:unhideWhenUsed/>
    <w:rsid w:val="00E216B4"/>
    <w:rPr>
      <w:color w:val="0563C1" w:themeColor="hyperlink"/>
      <w:u w:val="single"/>
    </w:rPr>
  </w:style>
  <w:style w:type="table" w:styleId="TableGrid">
    <w:name w:val="Table Grid"/>
    <w:basedOn w:val="TableNormal"/>
    <w:uiPriority w:val="59"/>
    <w:rsid w:val="00E216B4"/>
    <w:pPr>
      <w:spacing w:after="0" w:line="240" w:lineRule="auto"/>
    </w:pPr>
    <w:rPr>
      <w:rFonts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E216B4"/>
    <w:pPr>
      <w:spacing w:after="0" w:line="240" w:lineRule="auto"/>
    </w:pPr>
    <w:rPr>
      <w:sz w:val="20"/>
      <w:szCs w:val="20"/>
    </w:rPr>
  </w:style>
  <w:style w:type="character" w:styleId="FootnoteTextChar" w:customStyle="1">
    <w:name w:val="Footnote Text Char"/>
    <w:basedOn w:val="DefaultParagraphFont"/>
    <w:link w:val="FootnoteText"/>
    <w:uiPriority w:val="99"/>
    <w:rsid w:val="00E216B4"/>
    <w:rPr>
      <w:sz w:val="20"/>
      <w:szCs w:val="20"/>
    </w:rPr>
  </w:style>
  <w:style w:type="character" w:styleId="FootnoteReference">
    <w:name w:val="footnote reference"/>
    <w:basedOn w:val="DefaultParagraphFont"/>
    <w:uiPriority w:val="99"/>
    <w:semiHidden/>
    <w:unhideWhenUsed/>
    <w:rsid w:val="00E216B4"/>
    <w:rPr>
      <w:vertAlign w:val="superscript"/>
    </w:rPr>
  </w:style>
  <w:style w:type="character" w:styleId="UnresolvedMention">
    <w:name w:val="Unresolved Mention"/>
    <w:basedOn w:val="DefaultParagraphFont"/>
    <w:uiPriority w:val="99"/>
    <w:semiHidden/>
    <w:unhideWhenUsed/>
    <w:rsid w:val="00E216B4"/>
    <w:rPr>
      <w:color w:val="605E5C"/>
      <w:shd w:val="clear" w:color="auto" w:fill="E1DFDD"/>
    </w:rPr>
  </w:style>
  <w:style w:type="character" w:styleId="Heading2Char" w:customStyle="1">
    <w:name w:val="Heading 2 Char"/>
    <w:basedOn w:val="DefaultParagraphFont"/>
    <w:link w:val="Heading2"/>
    <w:rsid w:val="00E216B4"/>
    <w:rPr>
      <w:rFonts w:ascii="Times New Roman" w:hAnsi="Times New Roman" w:cs="Times New Roman"/>
      <w:b/>
      <w:bCs/>
      <w:lang w:val="en-GB" w:eastAsia="zh-CN"/>
    </w:rPr>
  </w:style>
  <w:style w:type="table" w:styleId="TableGrid0" w:customStyle="1">
    <w:name w:val="TableGrid"/>
    <w:rsid w:val="00E216B4"/>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6439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3947"/>
  </w:style>
  <w:style w:type="paragraph" w:styleId="Footer">
    <w:name w:val="footer"/>
    <w:basedOn w:val="Normal"/>
    <w:link w:val="FooterChar"/>
    <w:uiPriority w:val="99"/>
    <w:unhideWhenUsed/>
    <w:rsid w:val="006439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3947"/>
  </w:style>
  <w:style w:type="paragraph" w:styleId="Revision">
    <w:name w:val="Revision"/>
    <w:hidden/>
    <w:uiPriority w:val="99"/>
    <w:semiHidden/>
    <w:rsid w:val="002417A0"/>
    <w:pPr>
      <w:spacing w:after="0" w:line="240" w:lineRule="auto"/>
    </w:pPr>
  </w:style>
  <w:style w:type="character" w:styleId="CommentReference">
    <w:name w:val="annotation reference"/>
    <w:basedOn w:val="DefaultParagraphFont"/>
    <w:uiPriority w:val="99"/>
    <w:semiHidden/>
    <w:unhideWhenUsed/>
    <w:rsid w:val="00B22AF9"/>
    <w:rPr>
      <w:sz w:val="16"/>
      <w:szCs w:val="16"/>
    </w:rPr>
  </w:style>
  <w:style w:type="paragraph" w:styleId="CommentText">
    <w:name w:val="annotation text"/>
    <w:basedOn w:val="Normal"/>
    <w:link w:val="CommentTextChar"/>
    <w:uiPriority w:val="99"/>
    <w:semiHidden/>
    <w:unhideWhenUsed/>
    <w:rsid w:val="00B22AF9"/>
    <w:pPr>
      <w:spacing w:line="240" w:lineRule="auto"/>
    </w:pPr>
    <w:rPr>
      <w:sz w:val="20"/>
      <w:szCs w:val="20"/>
    </w:rPr>
  </w:style>
  <w:style w:type="character" w:styleId="CommentTextChar" w:customStyle="1">
    <w:name w:val="Comment Text Char"/>
    <w:basedOn w:val="DefaultParagraphFont"/>
    <w:link w:val="CommentText"/>
    <w:uiPriority w:val="99"/>
    <w:semiHidden/>
    <w:rsid w:val="00B22AF9"/>
    <w:rPr>
      <w:sz w:val="20"/>
      <w:szCs w:val="20"/>
    </w:rPr>
  </w:style>
  <w:style w:type="paragraph" w:styleId="CommentSubject">
    <w:name w:val="annotation subject"/>
    <w:basedOn w:val="CommentText"/>
    <w:next w:val="CommentText"/>
    <w:link w:val="CommentSubjectChar"/>
    <w:uiPriority w:val="99"/>
    <w:semiHidden/>
    <w:unhideWhenUsed/>
    <w:rsid w:val="00B22AF9"/>
    <w:rPr>
      <w:b/>
      <w:bCs/>
    </w:rPr>
  </w:style>
  <w:style w:type="character" w:styleId="CommentSubjectChar" w:customStyle="1">
    <w:name w:val="Comment Subject Char"/>
    <w:basedOn w:val="CommentTextChar"/>
    <w:link w:val="CommentSubject"/>
    <w:uiPriority w:val="99"/>
    <w:semiHidden/>
    <w:rsid w:val="00B22AF9"/>
    <w:rPr>
      <w:b/>
      <w:bCs/>
      <w:sz w:val="20"/>
      <w:szCs w:val="20"/>
    </w:rPr>
  </w:style>
  <w:style w:type="character" w:styleId="FollowedHyperlink">
    <w:name w:val="FollowedHyperlink"/>
    <w:basedOn w:val="DefaultParagraphFont"/>
    <w:uiPriority w:val="99"/>
    <w:semiHidden/>
    <w:unhideWhenUsed/>
    <w:rsid w:val="00E374A3"/>
    <w:rPr>
      <w:color w:val="954F72" w:themeColor="followedHyperlink"/>
      <w:u w:val="single"/>
    </w:rPr>
  </w:style>
  <w:style w:type="character" w:styleId="Heading1Char" w:customStyle="1">
    <w:name w:val="Heading 1 Char"/>
    <w:basedOn w:val="DefaultParagraphFont"/>
    <w:link w:val="Heading1"/>
    <w:uiPriority w:val="9"/>
    <w:rsid w:val="00956165"/>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glossaryDocument" Target="glossary/document.xml" Id="Rbfcf70afbc284121" /></Relationships>
</file>

<file path=word/_rels/footnotes.xml.rels><?xml version="1.0" encoding="UTF-8" standalone="yes"?>
<Relationships xmlns="http://schemas.openxmlformats.org/package/2006/relationships"><Relationship Id="rId2" Type="http://schemas.openxmlformats.org/officeDocument/2006/relationships/hyperlink" Target="https://unstats.un.org/unsd/business-stat/mne-platform" TargetMode="External"/><Relationship Id="rId1" Type="http://schemas.openxmlformats.org/officeDocument/2006/relationships/hyperlink" Target="https://www.oecd.org/sdd/its/mne-platform"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4d67ba-c05f-4c67-85ff-173b9c6cc3cd}"/>
      </w:docPartPr>
      <w:docPartBody>
        <w:p w14:paraId="59E2933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24F25E6497ED43898D504973DBDCA9" ma:contentTypeVersion="18" ma:contentTypeDescription="Create a new document." ma:contentTypeScope="" ma:versionID="112f917aed6372d052466bce40c2123a">
  <xsd:schema xmlns:xsd="http://www.w3.org/2001/XMLSchema" xmlns:xs="http://www.w3.org/2001/XMLSchema" xmlns:p="http://schemas.microsoft.com/office/2006/metadata/properties" xmlns:ns2="4f447018-c40e-40e5-80f8-c919516cf764" xmlns:ns3="6b41ce5a-22ff-4aef-bca2-14b56bf0aa25" xmlns:ns4="985ec44e-1bab-4c0b-9df0-6ba128686fc9" targetNamespace="http://schemas.microsoft.com/office/2006/metadata/properties" ma:root="true" ma:fieldsID="af12a5c22fde48320d90163fd64baec5" ns2:_="" ns3:_="" ns4:_="">
    <xsd:import namespace="4f447018-c40e-40e5-80f8-c919516cf764"/>
    <xsd:import namespace="6b41ce5a-22ff-4aef-bca2-14b56bf0aa25"/>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47018-c40e-40e5-80f8-c919516cf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1ce5a-22ff-4aef-bca2-14b56bf0aa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34de355-2535-4860-8d3d-a17c1c6094fe}" ma:internalName="TaxCatchAll" ma:showField="CatchAllData" ma:web="6b41ce5a-22ff-4aef-bca2-14b56bf0a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447018-c40e-40e5-80f8-c919516cf764">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7946B3F9-93BF-4F5E-9A09-E197FCE2F9CE}">
  <ds:schemaRefs>
    <ds:schemaRef ds:uri="http://schemas.openxmlformats.org/officeDocument/2006/bibliography"/>
  </ds:schemaRefs>
</ds:datastoreItem>
</file>

<file path=customXml/itemProps2.xml><?xml version="1.0" encoding="utf-8"?>
<ds:datastoreItem xmlns:ds="http://schemas.openxmlformats.org/officeDocument/2006/customXml" ds:itemID="{C5D68EAE-8C32-4E79-B1CD-83D3538D7825}"/>
</file>

<file path=customXml/itemProps3.xml><?xml version="1.0" encoding="utf-8"?>
<ds:datastoreItem xmlns:ds="http://schemas.openxmlformats.org/officeDocument/2006/customXml" ds:itemID="{19DDF63E-5B1E-4C61-8646-9E685985E13E}"/>
</file>

<file path=customXml/itemProps4.xml><?xml version="1.0" encoding="utf-8"?>
<ds:datastoreItem xmlns:ds="http://schemas.openxmlformats.org/officeDocument/2006/customXml" ds:itemID="{0BCF568C-50C3-4CFA-8F85-326BF4DD02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Shirly Ang</dc:creator>
  <keywords/>
  <dc:description/>
  <lastModifiedBy>Shirly Ang</lastModifiedBy>
  <revision>4</revision>
  <dcterms:created xsi:type="dcterms:W3CDTF">2023-09-04T11:45:00.0000000Z</dcterms:created>
  <dcterms:modified xsi:type="dcterms:W3CDTF">2024-05-07T19:30:49.1794279Z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0x0101007024F25E6497ED43898D504973DBDCA9</vt:lpwstr>
  </property>
  <property fmtid="{D5CDD505-2E9C-101B-9397-08002B2CF9AE}" pid="3" name="MediaServiceImageTags">
    <vt:lpwstr/>
  </property>
</Properties>
</file>