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42838" w14:textId="6E85C874" w:rsidR="00414963" w:rsidRPr="00F620A4" w:rsidRDefault="00707E0B" w:rsidP="00E36FC4">
      <w:pPr>
        <w:jc w:val="center"/>
        <w:rPr>
          <w:rFonts w:ascii="Times New Roman" w:hAnsi="Times New Roman"/>
          <w:lang w:val="en-GB" w:eastAsia="ja-JP"/>
        </w:rPr>
      </w:pPr>
      <w:r>
        <w:rPr>
          <w:rFonts w:ascii="Times New Roman" w:hAnsi="Times New Roman"/>
          <w:b/>
          <w:noProof/>
          <w:lang w:val="en-GB"/>
        </w:rPr>
        <mc:AlternateContent>
          <mc:Choice Requires="wps">
            <w:drawing>
              <wp:anchor distT="0" distB="0" distL="114300" distR="114300" simplePos="0" relativeHeight="251656704" behindDoc="0" locked="0" layoutInCell="1" allowOverlap="1" wp14:anchorId="78EF541B" wp14:editId="3FEFD331">
                <wp:simplePos x="0" y="0"/>
                <wp:positionH relativeFrom="column">
                  <wp:posOffset>-30480</wp:posOffset>
                </wp:positionH>
                <wp:positionV relativeFrom="paragraph">
                  <wp:posOffset>481965</wp:posOffset>
                </wp:positionV>
                <wp:extent cx="6027420" cy="948055"/>
                <wp:effectExtent l="0" t="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9480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3D94ED" id="Rectangle 7" o:spid="_x0000_s1026" style="position:absolute;margin-left:-2.4pt;margin-top:37.95pt;width:474.6pt;height:7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" filled="f" strokecolor="windowText" strokeweight="2pt">
                <v:path arrowok="t"/>
              </v:rect>
            </w:pict>
          </mc:Fallback>
        </mc:AlternateContent>
      </w:r>
      <w:r>
        <w:rPr>
          <w:rFonts w:ascii="Times New Roman" w:hAnsi="Times New Roman"/>
          <w:b/>
          <w:noProof/>
          <w:lang w:val="en-GB"/>
        </w:rPr>
        <mc:AlternateContent>
          <mc:Choice Requires="wps">
            <w:drawing>
              <wp:anchor distT="0" distB="0" distL="114300" distR="114300" simplePos="0" relativeHeight="251657728" behindDoc="0" locked="0" layoutInCell="1" allowOverlap="1" wp14:anchorId="107A964F" wp14:editId="7A47A539">
                <wp:simplePos x="0" y="0"/>
                <wp:positionH relativeFrom="column">
                  <wp:posOffset>-29845</wp:posOffset>
                </wp:positionH>
                <wp:positionV relativeFrom="paragraph">
                  <wp:posOffset>-117475</wp:posOffset>
                </wp:positionV>
                <wp:extent cx="6026785" cy="5994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785" cy="5994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2677061" id="Rectangle 9" o:spid="_x0000_s1026" style="position:absolute;margin-left:-2.35pt;margin-top:-9.25pt;width:474.55pt;height:4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" filled="f" strokecolor="windowText" strokeweight="2pt">
                <v:path arrowok="t"/>
              </v:rect>
            </w:pict>
          </mc:Fallback>
        </mc:AlternateContent>
      </w:r>
      <w:r w:rsidR="00414963" w:rsidRPr="00F620A4">
        <w:rPr>
          <w:rFonts w:ascii="Times New Roman" w:hAnsi="Times New Roman"/>
          <w:b/>
          <w:lang w:val="en-GB"/>
        </w:rPr>
        <w:t>2</w:t>
      </w:r>
      <w:r w:rsidR="0055457A" w:rsidRPr="00F620A4">
        <w:rPr>
          <w:rFonts w:ascii="Times New Roman" w:hAnsi="Times New Roman"/>
          <w:b/>
          <w:lang w:val="en-GB"/>
        </w:rPr>
        <w:t>8</w:t>
      </w:r>
      <w:r w:rsidR="00C126AB" w:rsidRPr="00F620A4">
        <w:rPr>
          <w:rFonts w:ascii="Times New Roman" w:hAnsi="Times New Roman"/>
          <w:b/>
          <w:vertAlign w:val="superscript"/>
          <w:lang w:val="en-GB"/>
        </w:rPr>
        <w:t>th</w:t>
      </w:r>
      <w:r w:rsidR="00C126AB" w:rsidRPr="00F620A4">
        <w:rPr>
          <w:rFonts w:ascii="Times New Roman" w:hAnsi="Times New Roman"/>
          <w:b/>
          <w:lang w:val="en-GB"/>
        </w:rPr>
        <w:t xml:space="preserve"> </w:t>
      </w:r>
      <w:r w:rsidR="00414963" w:rsidRPr="00F620A4">
        <w:rPr>
          <w:rFonts w:ascii="Times New Roman" w:hAnsi="Times New Roman"/>
          <w:b/>
          <w:lang w:val="en-GB"/>
        </w:rPr>
        <w:t>Meeting of the Wiesbaden Group on Business Registers</w:t>
      </w:r>
      <w:r w:rsidR="00414963" w:rsidRPr="00F620A4">
        <w:rPr>
          <w:rFonts w:ascii="Times New Roman" w:hAnsi="Times New Roman"/>
          <w:b/>
          <w:lang w:val="en-GB"/>
        </w:rPr>
        <w:br/>
      </w:r>
      <w:r w:rsidR="0055457A" w:rsidRPr="00F620A4">
        <w:rPr>
          <w:rFonts w:ascii="Times New Roman" w:hAnsi="Times New Roman"/>
          <w:b/>
          <w:lang w:val="en-GB"/>
        </w:rPr>
        <w:t>2</w:t>
      </w:r>
      <w:r w:rsidR="00414963" w:rsidRPr="00F620A4">
        <w:rPr>
          <w:rFonts w:ascii="Times New Roman" w:hAnsi="Times New Roman"/>
          <w:b/>
          <w:lang w:val="en-GB"/>
        </w:rPr>
        <w:t xml:space="preserve"> </w:t>
      </w:r>
      <w:r w:rsidR="0055457A" w:rsidRPr="00F620A4">
        <w:rPr>
          <w:rFonts w:ascii="Times New Roman" w:hAnsi="Times New Roman"/>
          <w:b/>
          <w:lang w:val="en-GB"/>
        </w:rPr>
        <w:t>-</w:t>
      </w:r>
      <w:r w:rsidR="00414963" w:rsidRPr="00F620A4">
        <w:rPr>
          <w:rFonts w:ascii="Times New Roman" w:hAnsi="Times New Roman"/>
          <w:b/>
          <w:lang w:val="en-GB"/>
        </w:rPr>
        <w:t xml:space="preserve"> </w:t>
      </w:r>
      <w:r w:rsidR="0055457A" w:rsidRPr="00F620A4">
        <w:rPr>
          <w:rFonts w:ascii="Times New Roman" w:hAnsi="Times New Roman"/>
          <w:b/>
          <w:lang w:val="en-GB"/>
        </w:rPr>
        <w:t>6</w:t>
      </w:r>
      <w:r w:rsidR="00414963" w:rsidRPr="00F620A4">
        <w:rPr>
          <w:rFonts w:ascii="Times New Roman" w:hAnsi="Times New Roman"/>
          <w:b/>
          <w:lang w:val="en-GB"/>
        </w:rPr>
        <w:t xml:space="preserve"> </w:t>
      </w:r>
      <w:r w:rsidR="0055457A" w:rsidRPr="00F620A4">
        <w:rPr>
          <w:rFonts w:ascii="Times New Roman" w:hAnsi="Times New Roman"/>
          <w:b/>
          <w:lang w:val="en-GB" w:eastAsia="ja-JP"/>
        </w:rPr>
        <w:t xml:space="preserve">October </w:t>
      </w:r>
      <w:r w:rsidR="00414963" w:rsidRPr="00F620A4">
        <w:rPr>
          <w:rFonts w:ascii="Times New Roman" w:hAnsi="Times New Roman"/>
          <w:b/>
          <w:lang w:val="en-GB"/>
        </w:rPr>
        <w:t>20</w:t>
      </w:r>
      <w:r w:rsidR="00D90ACB" w:rsidRPr="00F620A4">
        <w:rPr>
          <w:rFonts w:ascii="Times New Roman" w:hAnsi="Times New Roman"/>
          <w:b/>
          <w:lang w:val="en-GB"/>
        </w:rPr>
        <w:t>2</w:t>
      </w:r>
      <w:r w:rsidR="0055457A" w:rsidRPr="00F620A4">
        <w:rPr>
          <w:rFonts w:ascii="Times New Roman" w:hAnsi="Times New Roman"/>
          <w:b/>
          <w:lang w:val="en-GB"/>
        </w:rPr>
        <w:t>3</w:t>
      </w:r>
    </w:p>
    <w:p w14:paraId="0ED7B208" w14:textId="54D201F1" w:rsidR="00414963" w:rsidRPr="006F3799" w:rsidRDefault="005B6356" w:rsidP="007F7D32">
      <w:pPr>
        <w:widowControl w:val="0"/>
        <w:spacing w:after="120"/>
        <w:jc w:val="center"/>
        <w:rPr>
          <w:rFonts w:ascii="Times New Roman" w:hAnsi="Times New Roman"/>
          <w:lang w:val="fr-FR"/>
        </w:rPr>
      </w:pPr>
      <w:r w:rsidRPr="006F3799">
        <w:rPr>
          <w:rFonts w:ascii="Times New Roman" w:hAnsi="Times New Roman"/>
          <w:lang w:val="fr-FR"/>
        </w:rPr>
        <w:t xml:space="preserve">Alexandre </w:t>
      </w:r>
      <w:proofErr w:type="spellStart"/>
      <w:r w:rsidRPr="006F3799">
        <w:rPr>
          <w:rFonts w:ascii="Times New Roman" w:hAnsi="Times New Roman"/>
          <w:lang w:val="fr-FR"/>
        </w:rPr>
        <w:t>Depire</w:t>
      </w:r>
      <w:proofErr w:type="spellEnd"/>
      <w:r w:rsidRPr="006F3799">
        <w:rPr>
          <w:rFonts w:ascii="Times New Roman" w:hAnsi="Times New Roman"/>
          <w:lang w:val="fr-FR"/>
        </w:rPr>
        <w:t xml:space="preserve"> </w:t>
      </w:r>
      <w:r w:rsidR="00AB2ECD" w:rsidRPr="006F3799">
        <w:rPr>
          <w:rFonts w:ascii="Times New Roman" w:hAnsi="Times New Roman"/>
          <w:lang w:val="fr-FR"/>
        </w:rPr>
        <w:t>(</w:t>
      </w:r>
      <w:r w:rsidR="0081104B" w:rsidRPr="006F3799">
        <w:rPr>
          <w:rFonts w:ascii="Times New Roman" w:hAnsi="Times New Roman"/>
          <w:lang w:val="fr-FR"/>
        </w:rPr>
        <w:t>EUROSTAT</w:t>
      </w:r>
      <w:r w:rsidR="00AB2ECD" w:rsidRPr="006F3799">
        <w:rPr>
          <w:rFonts w:ascii="Times New Roman" w:hAnsi="Times New Roman"/>
          <w:lang w:val="fr-FR"/>
        </w:rPr>
        <w:t>)</w:t>
      </w:r>
      <w:r w:rsidR="00D13A2C">
        <w:rPr>
          <w:rFonts w:ascii="Times New Roman" w:hAnsi="Times New Roman"/>
          <w:lang w:val="fr-FR"/>
        </w:rPr>
        <w:t>,</w:t>
      </w:r>
      <w:r w:rsidR="00AB2ECD" w:rsidRPr="006F3799">
        <w:rPr>
          <w:rFonts w:ascii="Times New Roman" w:hAnsi="Times New Roman"/>
          <w:lang w:val="fr-FR"/>
        </w:rPr>
        <w:t xml:space="preserve"> </w:t>
      </w:r>
      <w:r w:rsidR="00D13A2C">
        <w:rPr>
          <w:rFonts w:ascii="Times New Roman" w:hAnsi="Times New Roman"/>
          <w:lang w:val="fr-FR"/>
        </w:rPr>
        <w:br/>
      </w:r>
      <w:r w:rsidR="00014E29" w:rsidRPr="006F3799">
        <w:rPr>
          <w:rFonts w:ascii="Times New Roman" w:hAnsi="Times New Roman"/>
          <w:lang w:val="fr-FR"/>
        </w:rPr>
        <w:t xml:space="preserve">Simon </w:t>
      </w:r>
      <w:proofErr w:type="spellStart"/>
      <w:r w:rsidR="00014E29" w:rsidRPr="006F3799">
        <w:rPr>
          <w:rFonts w:ascii="Times New Roman" w:hAnsi="Times New Roman"/>
          <w:lang w:val="fr-FR"/>
        </w:rPr>
        <w:t>Rommelspacher</w:t>
      </w:r>
      <w:proofErr w:type="spellEnd"/>
      <w:r w:rsidR="00014E29" w:rsidRPr="006F3799">
        <w:rPr>
          <w:rFonts w:ascii="Times New Roman" w:hAnsi="Times New Roman"/>
          <w:lang w:val="fr-FR"/>
        </w:rPr>
        <w:t xml:space="preserve"> (DE</w:t>
      </w:r>
      <w:r w:rsidR="00DF7E48" w:rsidRPr="006F3799">
        <w:rPr>
          <w:rFonts w:ascii="Times New Roman" w:hAnsi="Times New Roman"/>
          <w:lang w:val="fr-FR"/>
        </w:rPr>
        <w:t>STATIS</w:t>
      </w:r>
      <w:r w:rsidR="00014E29" w:rsidRPr="006F3799">
        <w:rPr>
          <w:rFonts w:ascii="Times New Roman" w:hAnsi="Times New Roman"/>
          <w:lang w:val="fr-FR"/>
        </w:rPr>
        <w:t>)</w:t>
      </w:r>
      <w:r w:rsidR="0082419A" w:rsidRPr="006F3799">
        <w:rPr>
          <w:rFonts w:ascii="Times New Roman" w:hAnsi="Times New Roman"/>
          <w:lang w:val="fr-FR"/>
        </w:rPr>
        <w:t> </w:t>
      </w:r>
      <w:r w:rsidR="00414963" w:rsidRPr="006F3799">
        <w:rPr>
          <w:rFonts w:ascii="Times New Roman" w:hAnsi="Times New Roman"/>
          <w:lang w:val="fr-FR"/>
        </w:rPr>
        <w:br/>
      </w:r>
    </w:p>
    <w:p w14:paraId="03D58D8A" w14:textId="31AFE883" w:rsidR="00414963" w:rsidRPr="00F620A4" w:rsidRDefault="00707E0B" w:rsidP="00414963">
      <w:pPr>
        <w:jc w:val="center"/>
        <w:rPr>
          <w:rFonts w:ascii="Times New Roman" w:hAnsi="Times New Roman"/>
          <w:lang w:val="en-GB"/>
        </w:rPr>
      </w:pPr>
      <w:r>
        <w:rPr>
          <w:rFonts w:ascii="Times New Roman" w:hAnsi="Times New Roman"/>
          <w:noProof/>
          <w:lang w:val="en-GB"/>
        </w:rPr>
        <mc:AlternateContent>
          <mc:Choice Requires="wps">
            <w:drawing>
              <wp:anchor distT="0" distB="0" distL="114300" distR="114300" simplePos="0" relativeHeight="251658752" behindDoc="0" locked="0" layoutInCell="1" allowOverlap="1" wp14:anchorId="49E509F9" wp14:editId="7D93FF23">
                <wp:simplePos x="0" y="0"/>
                <wp:positionH relativeFrom="column">
                  <wp:posOffset>-29210</wp:posOffset>
                </wp:positionH>
                <wp:positionV relativeFrom="paragraph">
                  <wp:posOffset>302895</wp:posOffset>
                </wp:positionV>
                <wp:extent cx="6027420" cy="7689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7689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0FF23" id="Rectangle 10" o:spid="_x0000_s1026" style="position:absolute;margin-left:-2.3pt;margin-top:23.85pt;width:474.6pt;height:6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" filled="f" strokecolor="windowText" strokeweight="2pt">
                <v:path arrowok="t"/>
              </v:rect>
            </w:pict>
          </mc:Fallback>
        </mc:AlternateContent>
      </w:r>
      <w:r w:rsidR="0081104B" w:rsidRPr="00F620A4">
        <w:rPr>
          <w:rFonts w:ascii="Times New Roman" w:hAnsi="Times New Roman"/>
          <w:lang w:val="en-GB"/>
        </w:rPr>
        <w:t>Session 2 – Profiling complex Statistical Units (SUs)</w:t>
      </w:r>
    </w:p>
    <w:p w14:paraId="32A39630" w14:textId="77777777" w:rsidR="007F7D32" w:rsidRPr="00F620A4" w:rsidRDefault="007F7D32" w:rsidP="00414963">
      <w:pPr>
        <w:jc w:val="center"/>
        <w:rPr>
          <w:rFonts w:ascii="Times New Roman" w:hAnsi="Times New Roman"/>
          <w:b/>
          <w:lang w:val="en-GB"/>
        </w:rPr>
      </w:pPr>
    </w:p>
    <w:p w14:paraId="48C58BF9" w14:textId="7F0A1794" w:rsidR="00414963" w:rsidRPr="00F620A4" w:rsidRDefault="00317CF9" w:rsidP="00414963">
      <w:pPr>
        <w:jc w:val="center"/>
        <w:rPr>
          <w:rFonts w:ascii="Times New Roman" w:hAnsi="Times New Roman"/>
          <w:b/>
          <w:lang w:val="en-GB"/>
        </w:rPr>
      </w:pPr>
      <w:r w:rsidRPr="00C93921">
        <w:rPr>
          <w:rFonts w:ascii="Times New Roman" w:hAnsi="Times New Roman"/>
          <w:b/>
          <w:iCs/>
          <w:lang w:val="en-GB"/>
        </w:rPr>
        <w:t xml:space="preserve">Introducing </w:t>
      </w:r>
      <w:r w:rsidR="003654D3" w:rsidRPr="00C93921">
        <w:rPr>
          <w:rFonts w:ascii="Times New Roman" w:hAnsi="Times New Roman"/>
          <w:b/>
          <w:iCs/>
          <w:lang w:val="en-GB"/>
        </w:rPr>
        <w:t xml:space="preserve">Top-tier </w:t>
      </w:r>
      <w:r w:rsidRPr="00C93921">
        <w:rPr>
          <w:rFonts w:ascii="Times New Roman" w:hAnsi="Times New Roman"/>
          <w:b/>
          <w:iCs/>
          <w:lang w:val="en-GB"/>
        </w:rPr>
        <w:t xml:space="preserve">profiling of </w:t>
      </w:r>
      <w:r w:rsidR="005B6356" w:rsidRPr="00C93921">
        <w:rPr>
          <w:rFonts w:ascii="Times New Roman" w:hAnsi="Times New Roman"/>
          <w:b/>
          <w:lang w:val="en-GB"/>
        </w:rPr>
        <w:t xml:space="preserve">Multinational Enterprise Groups </w:t>
      </w:r>
      <w:r w:rsidR="003654D3" w:rsidRPr="00C93921">
        <w:rPr>
          <w:rFonts w:ascii="Times New Roman" w:hAnsi="Times New Roman"/>
          <w:b/>
          <w:lang w:val="en-GB"/>
        </w:rPr>
        <w:t xml:space="preserve">in the </w:t>
      </w:r>
      <w:r w:rsidRPr="00C93921">
        <w:rPr>
          <w:rFonts w:ascii="Times New Roman" w:hAnsi="Times New Roman"/>
          <w:b/>
          <w:lang w:val="en-GB"/>
        </w:rPr>
        <w:t>EuroGroups Register</w:t>
      </w:r>
    </w:p>
    <w:p w14:paraId="5D97B5CF" w14:textId="77777777" w:rsidR="0081104B" w:rsidRPr="00F620A4" w:rsidRDefault="0081104B" w:rsidP="00414963">
      <w:pPr>
        <w:jc w:val="center"/>
        <w:rPr>
          <w:rFonts w:ascii="Times New Roman" w:hAnsi="Times New Roman"/>
          <w:b/>
          <w:lang w:val="en-GB"/>
        </w:rPr>
      </w:pPr>
    </w:p>
    <w:p w14:paraId="1F569D26" w14:textId="77777777" w:rsidR="00380711" w:rsidRPr="007F7D32" w:rsidRDefault="00380711" w:rsidP="00380711">
      <w:pPr>
        <w:jc w:val="center"/>
        <w:rPr>
          <w:rFonts w:ascii="Times New Roman" w:hAnsi="Times New Roman"/>
          <w:b/>
        </w:rPr>
      </w:pPr>
      <w:r w:rsidRPr="007F7D32">
        <w:rPr>
          <w:rFonts w:ascii="Times New Roman" w:hAnsi="Times New Roman"/>
          <w:b/>
        </w:rPr>
        <w:t>Abstract</w:t>
      </w:r>
    </w:p>
    <w:p w14:paraId="5E0756CC" w14:textId="07AFB9D8" w:rsidR="00380711" w:rsidRDefault="00380711" w:rsidP="00380711">
      <w:pPr>
        <w:spacing w:before="120" w:after="0"/>
        <w:jc w:val="both"/>
        <w:rPr>
          <w:rFonts w:ascii="Times New Roman" w:hAnsi="Times New Roman"/>
          <w:i/>
        </w:rPr>
      </w:pPr>
      <w:r>
        <w:rPr>
          <w:rFonts w:ascii="Times New Roman" w:hAnsi="Times New Roman"/>
          <w:i/>
        </w:rPr>
        <w:t>In the European Statistical System, the</w:t>
      </w:r>
      <w:r w:rsidRPr="005B6356">
        <w:rPr>
          <w:rFonts w:ascii="Times New Roman" w:hAnsi="Times New Roman"/>
          <w:i/>
        </w:rPr>
        <w:t xml:space="preserve"> </w:t>
      </w:r>
      <w:r>
        <w:rPr>
          <w:rFonts w:ascii="Times New Roman" w:hAnsi="Times New Roman"/>
          <w:i/>
        </w:rPr>
        <w:t xml:space="preserve">EuroGroups Register (EGR) is the statistical business register developed by Eurostat in cooperation with the national statistical </w:t>
      </w:r>
      <w:r w:rsidR="001261DE">
        <w:rPr>
          <w:rFonts w:ascii="Times New Roman" w:hAnsi="Times New Roman"/>
          <w:i/>
        </w:rPr>
        <w:t xml:space="preserve">institutes </w:t>
      </w:r>
      <w:r>
        <w:rPr>
          <w:rFonts w:ascii="Times New Roman" w:hAnsi="Times New Roman"/>
          <w:i/>
        </w:rPr>
        <w:t>(NSIs) of EU Member States (MS) and EFTA countries</w:t>
      </w:r>
      <w:r w:rsidR="001261DE">
        <w:rPr>
          <w:rFonts w:ascii="Times New Roman" w:hAnsi="Times New Roman"/>
          <w:i/>
        </w:rPr>
        <w:t xml:space="preserve">. It </w:t>
      </w:r>
      <w:r w:rsidR="001C7D48">
        <w:rPr>
          <w:rFonts w:ascii="Times New Roman" w:hAnsi="Times New Roman"/>
          <w:i/>
        </w:rPr>
        <w:t>contains the</w:t>
      </w:r>
      <w:r>
        <w:rPr>
          <w:rFonts w:ascii="Times New Roman" w:hAnsi="Times New Roman"/>
          <w:i/>
        </w:rPr>
        <w:t xml:space="preserve"> complete structure of the Multinational Enterprise Groups (MNE) groups operating in the EU and EFTA countries. It constitutes the </w:t>
      </w:r>
      <w:r w:rsidRPr="005B6356">
        <w:rPr>
          <w:rFonts w:ascii="Times New Roman" w:hAnsi="Times New Roman"/>
          <w:i/>
        </w:rPr>
        <w:t xml:space="preserve">necessary infrastructure for the coordination of </w:t>
      </w:r>
      <w:r>
        <w:rPr>
          <w:rFonts w:ascii="Times New Roman" w:hAnsi="Times New Roman"/>
          <w:i/>
        </w:rPr>
        <w:t xml:space="preserve">consistent </w:t>
      </w:r>
      <w:r w:rsidRPr="005B6356">
        <w:rPr>
          <w:rFonts w:ascii="Times New Roman" w:hAnsi="Times New Roman"/>
          <w:i/>
        </w:rPr>
        <w:t>statistic</w:t>
      </w:r>
      <w:r>
        <w:rPr>
          <w:rFonts w:ascii="Times New Roman" w:hAnsi="Times New Roman"/>
          <w:i/>
        </w:rPr>
        <w:t xml:space="preserve">s on globalization in the EU. </w:t>
      </w:r>
      <w:r w:rsidRPr="005B6356">
        <w:rPr>
          <w:rFonts w:ascii="Times New Roman" w:hAnsi="Times New Roman"/>
          <w:i/>
        </w:rPr>
        <w:t xml:space="preserve">To fulfil this role, </w:t>
      </w:r>
      <w:r>
        <w:rPr>
          <w:rFonts w:ascii="Times New Roman" w:hAnsi="Times New Roman"/>
          <w:i/>
        </w:rPr>
        <w:t xml:space="preserve">the </w:t>
      </w:r>
      <w:r w:rsidR="001C7D48">
        <w:rPr>
          <w:rFonts w:ascii="Times New Roman" w:hAnsi="Times New Roman"/>
          <w:i/>
        </w:rPr>
        <w:t xml:space="preserve">EGR </w:t>
      </w:r>
      <w:r w:rsidR="001C7D48" w:rsidRPr="005B6356">
        <w:rPr>
          <w:rFonts w:ascii="Times New Roman" w:hAnsi="Times New Roman"/>
          <w:i/>
        </w:rPr>
        <w:t>records</w:t>
      </w:r>
      <w:r w:rsidRPr="005B6356">
        <w:rPr>
          <w:rFonts w:ascii="Times New Roman" w:hAnsi="Times New Roman"/>
          <w:i/>
        </w:rPr>
        <w:t xml:space="preserve"> high quality and up-to-date information</w:t>
      </w:r>
      <w:r>
        <w:rPr>
          <w:rFonts w:ascii="Times New Roman" w:hAnsi="Times New Roman"/>
          <w:i/>
        </w:rPr>
        <w:t xml:space="preserve">. </w:t>
      </w:r>
    </w:p>
    <w:p w14:paraId="5A99BE8D" w14:textId="5A495D77" w:rsidR="00380711" w:rsidRDefault="00380711" w:rsidP="00380711">
      <w:pPr>
        <w:spacing w:before="120" w:after="0"/>
        <w:jc w:val="both"/>
        <w:rPr>
          <w:rFonts w:ascii="Times New Roman" w:hAnsi="Times New Roman"/>
          <w:i/>
        </w:rPr>
      </w:pPr>
      <w:r>
        <w:rPr>
          <w:rFonts w:ascii="Times New Roman" w:hAnsi="Times New Roman"/>
          <w:i/>
        </w:rPr>
        <w:t xml:space="preserve">With the aim to </w:t>
      </w:r>
      <w:r w:rsidRPr="0047003C">
        <w:rPr>
          <w:rFonts w:ascii="Times New Roman" w:hAnsi="Times New Roman"/>
          <w:i/>
        </w:rPr>
        <w:t>increas</w:t>
      </w:r>
      <w:r>
        <w:rPr>
          <w:rFonts w:ascii="Times New Roman" w:hAnsi="Times New Roman"/>
          <w:i/>
        </w:rPr>
        <w:t>e</w:t>
      </w:r>
      <w:r w:rsidRPr="0047003C">
        <w:rPr>
          <w:rFonts w:ascii="Times New Roman" w:hAnsi="Times New Roman"/>
          <w:i/>
        </w:rPr>
        <w:t xml:space="preserve"> </w:t>
      </w:r>
      <w:r>
        <w:rPr>
          <w:rFonts w:ascii="Times New Roman" w:hAnsi="Times New Roman"/>
          <w:i/>
        </w:rPr>
        <w:t xml:space="preserve">the </w:t>
      </w:r>
      <w:r w:rsidRPr="0047003C">
        <w:rPr>
          <w:rFonts w:ascii="Times New Roman" w:hAnsi="Times New Roman"/>
          <w:i/>
        </w:rPr>
        <w:t>accuracy</w:t>
      </w:r>
      <w:r>
        <w:rPr>
          <w:rFonts w:ascii="Times New Roman" w:hAnsi="Times New Roman"/>
          <w:i/>
        </w:rPr>
        <w:t xml:space="preserve"> and timeliness</w:t>
      </w:r>
      <w:r w:rsidRPr="0047003C">
        <w:rPr>
          <w:rFonts w:ascii="Times New Roman" w:hAnsi="Times New Roman"/>
          <w:i/>
        </w:rPr>
        <w:t xml:space="preserve"> of </w:t>
      </w:r>
      <w:r>
        <w:rPr>
          <w:rFonts w:ascii="Times New Roman" w:hAnsi="Times New Roman"/>
          <w:i/>
        </w:rPr>
        <w:t>the EGR</w:t>
      </w:r>
      <w:r w:rsidRPr="0047003C">
        <w:rPr>
          <w:rFonts w:ascii="Times New Roman" w:hAnsi="Times New Roman"/>
          <w:i/>
        </w:rPr>
        <w:t xml:space="preserve"> and </w:t>
      </w:r>
      <w:r>
        <w:rPr>
          <w:rFonts w:ascii="Times New Roman" w:hAnsi="Times New Roman"/>
          <w:i/>
        </w:rPr>
        <w:t xml:space="preserve">to </w:t>
      </w:r>
      <w:r w:rsidRPr="0047003C">
        <w:rPr>
          <w:rFonts w:ascii="Times New Roman" w:hAnsi="Times New Roman"/>
          <w:i/>
        </w:rPr>
        <w:t>reduc</w:t>
      </w:r>
      <w:r>
        <w:rPr>
          <w:rFonts w:ascii="Times New Roman" w:hAnsi="Times New Roman"/>
          <w:i/>
        </w:rPr>
        <w:t>e</w:t>
      </w:r>
      <w:r w:rsidRPr="0047003C">
        <w:rPr>
          <w:rFonts w:ascii="Times New Roman" w:hAnsi="Times New Roman"/>
          <w:i/>
        </w:rPr>
        <w:t xml:space="preserve"> the burden on </w:t>
      </w:r>
      <w:r>
        <w:rPr>
          <w:rFonts w:ascii="Times New Roman" w:hAnsi="Times New Roman"/>
          <w:i/>
        </w:rPr>
        <w:t xml:space="preserve">the </w:t>
      </w:r>
      <w:r w:rsidR="001261DE">
        <w:rPr>
          <w:rFonts w:ascii="Times New Roman" w:hAnsi="Times New Roman"/>
          <w:i/>
        </w:rPr>
        <w:t>NSIs</w:t>
      </w:r>
      <w:r>
        <w:rPr>
          <w:rFonts w:ascii="Times New Roman" w:hAnsi="Times New Roman"/>
          <w:i/>
        </w:rPr>
        <w:t>, the data quality management of the MNE groups in the EGR is going to be based on a “T</w:t>
      </w:r>
      <w:r w:rsidRPr="0047003C">
        <w:rPr>
          <w:rFonts w:ascii="Times New Roman" w:hAnsi="Times New Roman"/>
          <w:i/>
        </w:rPr>
        <w:t>wo-tier approach</w:t>
      </w:r>
      <w:r>
        <w:rPr>
          <w:rFonts w:ascii="Times New Roman" w:hAnsi="Times New Roman"/>
          <w:i/>
        </w:rPr>
        <w:t>”, ensuring high accuracy and timeliness on</w:t>
      </w:r>
      <w:r w:rsidRPr="005B6356">
        <w:rPr>
          <w:rFonts w:ascii="Times New Roman" w:hAnsi="Times New Roman"/>
          <w:i/>
        </w:rPr>
        <w:t xml:space="preserve"> the largest and most significant</w:t>
      </w:r>
      <w:r>
        <w:rPr>
          <w:rFonts w:ascii="Times New Roman" w:hAnsi="Times New Roman"/>
          <w:i/>
        </w:rPr>
        <w:t xml:space="preserve"> </w:t>
      </w:r>
      <w:r w:rsidRPr="005B6356">
        <w:rPr>
          <w:rFonts w:ascii="Times New Roman" w:hAnsi="Times New Roman"/>
          <w:i/>
        </w:rPr>
        <w:t>MNE</w:t>
      </w:r>
      <w:r>
        <w:rPr>
          <w:rFonts w:ascii="Times New Roman" w:hAnsi="Times New Roman"/>
          <w:i/>
        </w:rPr>
        <w:t xml:space="preserve"> group</w:t>
      </w:r>
      <w:r w:rsidRPr="005B6356">
        <w:rPr>
          <w:rFonts w:ascii="Times New Roman" w:hAnsi="Times New Roman"/>
          <w:i/>
        </w:rPr>
        <w:t>s wit</w:t>
      </w:r>
      <w:r>
        <w:rPr>
          <w:rFonts w:ascii="Times New Roman" w:hAnsi="Times New Roman"/>
          <w:i/>
        </w:rPr>
        <w:t>h sizable impact on European statistics (Top-tier), while investing in automation to treat the rest of the MNE groups with sufficient accuracy and coverage.</w:t>
      </w:r>
      <w:r w:rsidRPr="0047003C">
        <w:rPr>
          <w:rFonts w:ascii="Times New Roman" w:hAnsi="Times New Roman"/>
          <w:i/>
        </w:rPr>
        <w:t xml:space="preserve"> </w:t>
      </w:r>
    </w:p>
    <w:p w14:paraId="57301D62" w14:textId="7626DD0A" w:rsidR="00380711" w:rsidRDefault="00380711" w:rsidP="00380711">
      <w:pPr>
        <w:spacing w:before="120" w:after="0"/>
        <w:jc w:val="both"/>
        <w:rPr>
          <w:rFonts w:ascii="Times New Roman" w:hAnsi="Times New Roman"/>
          <w:i/>
        </w:rPr>
      </w:pPr>
      <w:r>
        <w:rPr>
          <w:rFonts w:ascii="Times New Roman" w:hAnsi="Times New Roman"/>
          <w:i/>
        </w:rPr>
        <w:t xml:space="preserve">A </w:t>
      </w:r>
      <w:r w:rsidR="001261DE">
        <w:rPr>
          <w:rFonts w:ascii="Times New Roman" w:hAnsi="Times New Roman"/>
          <w:i/>
        </w:rPr>
        <w:t xml:space="preserve">Eurostat </w:t>
      </w:r>
      <w:r>
        <w:rPr>
          <w:rFonts w:ascii="Times New Roman" w:hAnsi="Times New Roman"/>
          <w:i/>
        </w:rPr>
        <w:t xml:space="preserve">Task Force </w:t>
      </w:r>
      <w:r w:rsidR="001261DE">
        <w:rPr>
          <w:rFonts w:ascii="Times New Roman" w:hAnsi="Times New Roman"/>
          <w:i/>
        </w:rPr>
        <w:t>including 13</w:t>
      </w:r>
      <w:r>
        <w:rPr>
          <w:rFonts w:ascii="Times New Roman" w:hAnsi="Times New Roman"/>
          <w:i/>
        </w:rPr>
        <w:t xml:space="preserve"> MS was created in 2021 to specify the criteria to select the Top-tier population of the MNEs as well as to define an updated </w:t>
      </w:r>
      <w:r w:rsidR="001261DE">
        <w:rPr>
          <w:rFonts w:ascii="Times New Roman" w:hAnsi="Times New Roman"/>
          <w:i/>
        </w:rPr>
        <w:t xml:space="preserve">their </w:t>
      </w:r>
      <w:r>
        <w:rPr>
          <w:rFonts w:ascii="Times New Roman" w:hAnsi="Times New Roman"/>
          <w:i/>
        </w:rPr>
        <w:t>treatment and profiling process.</w:t>
      </w:r>
    </w:p>
    <w:p w14:paraId="6BE42399" w14:textId="2F1D383B" w:rsidR="00380711" w:rsidRDefault="00380711" w:rsidP="00380711">
      <w:pPr>
        <w:spacing w:before="120" w:after="0"/>
        <w:jc w:val="both"/>
        <w:rPr>
          <w:rFonts w:ascii="Times New Roman" w:hAnsi="Times New Roman"/>
          <w:i/>
        </w:rPr>
      </w:pPr>
      <w:r>
        <w:rPr>
          <w:rFonts w:ascii="Times New Roman" w:hAnsi="Times New Roman"/>
          <w:i/>
        </w:rPr>
        <w:t xml:space="preserve">The Task Force specified </w:t>
      </w:r>
      <w:r w:rsidR="001261DE">
        <w:rPr>
          <w:rFonts w:ascii="Times New Roman" w:hAnsi="Times New Roman"/>
          <w:i/>
        </w:rPr>
        <w:t>a</w:t>
      </w:r>
      <w:r>
        <w:rPr>
          <w:rFonts w:ascii="Times New Roman" w:hAnsi="Times New Roman"/>
          <w:i/>
        </w:rPr>
        <w:t xml:space="preserve"> Complexity and Statistical Impact (CSI) index t</w:t>
      </w:r>
      <w:r w:rsidRPr="0081104B">
        <w:rPr>
          <w:rFonts w:ascii="Times New Roman" w:hAnsi="Times New Roman"/>
          <w:i/>
        </w:rPr>
        <w:t>o define th</w:t>
      </w:r>
      <w:r>
        <w:rPr>
          <w:rFonts w:ascii="Times New Roman" w:hAnsi="Times New Roman"/>
          <w:i/>
        </w:rPr>
        <w:t>e</w:t>
      </w:r>
      <w:r w:rsidRPr="0081104B">
        <w:rPr>
          <w:rFonts w:ascii="Times New Roman" w:hAnsi="Times New Roman"/>
          <w:i/>
        </w:rPr>
        <w:t xml:space="preserve"> pop</w:t>
      </w:r>
      <w:r>
        <w:rPr>
          <w:rFonts w:ascii="Times New Roman" w:hAnsi="Times New Roman"/>
          <w:i/>
        </w:rPr>
        <w:t>ulation of the “</w:t>
      </w:r>
      <w:r w:rsidR="001A2FE6">
        <w:rPr>
          <w:rFonts w:ascii="Times New Roman" w:hAnsi="Times New Roman"/>
          <w:i/>
        </w:rPr>
        <w:t>Top-tier</w:t>
      </w:r>
      <w:r>
        <w:rPr>
          <w:rFonts w:ascii="Times New Roman" w:hAnsi="Times New Roman"/>
          <w:i/>
        </w:rPr>
        <w:t xml:space="preserve">” MNE groups. It </w:t>
      </w:r>
      <w:r w:rsidRPr="004A06D0">
        <w:rPr>
          <w:rFonts w:ascii="Times New Roman" w:hAnsi="Times New Roman"/>
          <w:i/>
        </w:rPr>
        <w:t xml:space="preserve">is based on economic variables </w:t>
      </w:r>
      <w:r>
        <w:rPr>
          <w:rFonts w:ascii="Times New Roman" w:hAnsi="Times New Roman"/>
          <w:i/>
        </w:rPr>
        <w:t>and</w:t>
      </w:r>
      <w:r w:rsidRPr="004A06D0">
        <w:rPr>
          <w:rFonts w:ascii="Times New Roman" w:hAnsi="Times New Roman"/>
          <w:i/>
        </w:rPr>
        <w:t xml:space="preserve"> linked to the structure of the</w:t>
      </w:r>
      <w:r>
        <w:rPr>
          <w:rFonts w:ascii="Times New Roman" w:hAnsi="Times New Roman"/>
          <w:i/>
        </w:rPr>
        <w:t xml:space="preserve"> MNE</w:t>
      </w:r>
      <w:r w:rsidRPr="004A06D0">
        <w:rPr>
          <w:rFonts w:ascii="Times New Roman" w:hAnsi="Times New Roman"/>
          <w:i/>
        </w:rPr>
        <w:t xml:space="preserve"> group</w:t>
      </w:r>
      <w:r>
        <w:rPr>
          <w:rFonts w:ascii="Times New Roman" w:hAnsi="Times New Roman"/>
          <w:i/>
        </w:rPr>
        <w:t>s</w:t>
      </w:r>
      <w:r w:rsidRPr="004A06D0">
        <w:rPr>
          <w:rFonts w:ascii="Times New Roman" w:hAnsi="Times New Roman"/>
          <w:i/>
        </w:rPr>
        <w:t xml:space="preserve">. A method based on percentiles is </w:t>
      </w:r>
      <w:r>
        <w:rPr>
          <w:rFonts w:ascii="Times New Roman" w:hAnsi="Times New Roman"/>
          <w:i/>
        </w:rPr>
        <w:t>used to classify and rank them.</w:t>
      </w:r>
      <w:r w:rsidRPr="004A06D0">
        <w:rPr>
          <w:rFonts w:ascii="Times New Roman" w:hAnsi="Times New Roman"/>
          <w:i/>
        </w:rPr>
        <w:t xml:space="preserve"> </w:t>
      </w:r>
      <w:r w:rsidRPr="002732DA">
        <w:rPr>
          <w:rFonts w:ascii="Times New Roman" w:hAnsi="Times New Roman"/>
          <w:i/>
        </w:rPr>
        <w:t xml:space="preserve">Once the </w:t>
      </w:r>
      <w:r>
        <w:rPr>
          <w:rFonts w:ascii="Times New Roman" w:hAnsi="Times New Roman"/>
          <w:i/>
        </w:rPr>
        <w:t xml:space="preserve">Top-tier </w:t>
      </w:r>
      <w:r w:rsidRPr="002732DA">
        <w:rPr>
          <w:rFonts w:ascii="Times New Roman" w:hAnsi="Times New Roman"/>
          <w:i/>
        </w:rPr>
        <w:t>list has been drawn up,</w:t>
      </w:r>
      <w:r>
        <w:rPr>
          <w:rFonts w:ascii="Times New Roman" w:hAnsi="Times New Roman"/>
          <w:i/>
        </w:rPr>
        <w:t xml:space="preserve"> </w:t>
      </w:r>
      <w:r w:rsidRPr="00DB3619">
        <w:rPr>
          <w:rFonts w:ascii="Times New Roman" w:hAnsi="Times New Roman"/>
          <w:i/>
        </w:rPr>
        <w:t>a d</w:t>
      </w:r>
      <w:r>
        <w:rPr>
          <w:rFonts w:ascii="Times New Roman" w:hAnsi="Times New Roman"/>
          <w:i/>
        </w:rPr>
        <w:t>edicated profiling activity is implemented by the NSIs in the shared on-line application provided by Eurostat.</w:t>
      </w:r>
      <w:r w:rsidDel="001D3474">
        <w:rPr>
          <w:rFonts w:ascii="Times New Roman" w:hAnsi="Times New Roman"/>
          <w:i/>
        </w:rPr>
        <w:t xml:space="preserve"> </w:t>
      </w:r>
    </w:p>
    <w:p w14:paraId="2A368D1C" w14:textId="21B91311" w:rsidR="00380711" w:rsidRDefault="00380711" w:rsidP="00380711">
      <w:pPr>
        <w:spacing w:before="120" w:after="0"/>
        <w:jc w:val="both"/>
        <w:rPr>
          <w:rFonts w:ascii="Times New Roman" w:hAnsi="Times New Roman"/>
          <w:i/>
        </w:rPr>
      </w:pPr>
      <w:r>
        <w:rPr>
          <w:rFonts w:ascii="Times New Roman" w:hAnsi="Times New Roman"/>
          <w:i/>
        </w:rPr>
        <w:t>The Task Force also specified the Top-tier profiling process for the treatment of the groups structure. The process is under test since April 2023. The profilers of the NSIs shall focus</w:t>
      </w:r>
      <w:r w:rsidRPr="002732DA">
        <w:rPr>
          <w:rFonts w:ascii="Times New Roman" w:hAnsi="Times New Roman"/>
          <w:i/>
        </w:rPr>
        <w:t xml:space="preserve"> on </w:t>
      </w:r>
      <w:r>
        <w:rPr>
          <w:rFonts w:ascii="Times New Roman" w:hAnsi="Times New Roman"/>
          <w:i/>
        </w:rPr>
        <w:t>updating the structure</w:t>
      </w:r>
      <w:r w:rsidRPr="002732DA">
        <w:rPr>
          <w:rFonts w:ascii="Times New Roman" w:hAnsi="Times New Roman"/>
          <w:i/>
        </w:rPr>
        <w:t xml:space="preserve"> of the </w:t>
      </w:r>
      <w:r>
        <w:rPr>
          <w:rFonts w:ascii="Times New Roman" w:hAnsi="Times New Roman"/>
          <w:i/>
        </w:rPr>
        <w:t xml:space="preserve">Top-tier MNE </w:t>
      </w:r>
      <w:r w:rsidRPr="002732DA">
        <w:rPr>
          <w:rFonts w:ascii="Times New Roman" w:hAnsi="Times New Roman"/>
          <w:i/>
        </w:rPr>
        <w:t>groups</w:t>
      </w:r>
      <w:r>
        <w:rPr>
          <w:rFonts w:ascii="Times New Roman" w:hAnsi="Times New Roman"/>
          <w:i/>
        </w:rPr>
        <w:t xml:space="preserve"> and their legal units, responding to events that are statistically significant and require revisions in the EGR. The Task Force developed functionalities to support the manual treatment of the </w:t>
      </w:r>
      <w:r w:rsidR="001261DE">
        <w:rPr>
          <w:rFonts w:ascii="Times New Roman" w:hAnsi="Times New Roman"/>
          <w:i/>
        </w:rPr>
        <w:t xml:space="preserve">groups’ </w:t>
      </w:r>
      <w:r>
        <w:rPr>
          <w:rFonts w:ascii="Times New Roman" w:hAnsi="Times New Roman"/>
          <w:i/>
        </w:rPr>
        <w:t xml:space="preserve">structure in EGR. </w:t>
      </w:r>
      <w:r w:rsidRPr="002732DA">
        <w:rPr>
          <w:rFonts w:ascii="Times New Roman" w:hAnsi="Times New Roman"/>
          <w:i/>
        </w:rPr>
        <w:t xml:space="preserve">The country where the decision-making center </w:t>
      </w:r>
      <w:r>
        <w:rPr>
          <w:rFonts w:ascii="Times New Roman" w:hAnsi="Times New Roman"/>
          <w:i/>
        </w:rPr>
        <w:t xml:space="preserve">of the MNE group </w:t>
      </w:r>
      <w:r w:rsidRPr="002732DA">
        <w:rPr>
          <w:rFonts w:ascii="Times New Roman" w:hAnsi="Times New Roman"/>
          <w:i/>
        </w:rPr>
        <w:t xml:space="preserve">is located </w:t>
      </w:r>
      <w:r>
        <w:rPr>
          <w:rFonts w:ascii="Times New Roman" w:hAnsi="Times New Roman"/>
          <w:i/>
        </w:rPr>
        <w:t xml:space="preserve">leads the </w:t>
      </w:r>
      <w:r w:rsidR="001261DE">
        <w:rPr>
          <w:rFonts w:ascii="Times New Roman" w:hAnsi="Times New Roman"/>
          <w:i/>
        </w:rPr>
        <w:t xml:space="preserve">profiling </w:t>
      </w:r>
      <w:r>
        <w:rPr>
          <w:rFonts w:ascii="Times New Roman" w:hAnsi="Times New Roman"/>
          <w:i/>
        </w:rPr>
        <w:t>process and proposes</w:t>
      </w:r>
      <w:r w:rsidRPr="002732DA">
        <w:rPr>
          <w:rFonts w:ascii="Times New Roman" w:hAnsi="Times New Roman"/>
          <w:i/>
        </w:rPr>
        <w:t xml:space="preserve"> </w:t>
      </w:r>
      <w:r>
        <w:rPr>
          <w:rFonts w:ascii="Times New Roman" w:hAnsi="Times New Roman"/>
          <w:i/>
        </w:rPr>
        <w:t xml:space="preserve">updates </w:t>
      </w:r>
      <w:r w:rsidRPr="002732DA">
        <w:rPr>
          <w:rFonts w:ascii="Times New Roman" w:hAnsi="Times New Roman"/>
          <w:i/>
        </w:rPr>
        <w:t xml:space="preserve">to the </w:t>
      </w:r>
      <w:r>
        <w:rPr>
          <w:rFonts w:ascii="Times New Roman" w:hAnsi="Times New Roman"/>
          <w:i/>
        </w:rPr>
        <w:t>partnering</w:t>
      </w:r>
      <w:r w:rsidRPr="002732DA">
        <w:rPr>
          <w:rFonts w:ascii="Times New Roman" w:hAnsi="Times New Roman"/>
          <w:i/>
        </w:rPr>
        <w:t xml:space="preserve"> countries</w:t>
      </w:r>
      <w:r>
        <w:rPr>
          <w:rFonts w:ascii="Times New Roman" w:hAnsi="Times New Roman"/>
          <w:i/>
        </w:rPr>
        <w:t>, that work</w:t>
      </w:r>
      <w:r w:rsidRPr="00DB3619">
        <w:rPr>
          <w:rFonts w:ascii="Times New Roman" w:hAnsi="Times New Roman"/>
          <w:i/>
        </w:rPr>
        <w:t xml:space="preserve"> on the </w:t>
      </w:r>
      <w:r>
        <w:rPr>
          <w:rFonts w:ascii="Times New Roman" w:hAnsi="Times New Roman"/>
          <w:i/>
        </w:rPr>
        <w:t xml:space="preserve">resident </w:t>
      </w:r>
      <w:r w:rsidRPr="00DB3619">
        <w:rPr>
          <w:rFonts w:ascii="Times New Roman" w:hAnsi="Times New Roman"/>
          <w:i/>
        </w:rPr>
        <w:t xml:space="preserve">parts of the </w:t>
      </w:r>
      <w:r>
        <w:rPr>
          <w:rFonts w:ascii="Times New Roman" w:hAnsi="Times New Roman"/>
          <w:i/>
        </w:rPr>
        <w:t xml:space="preserve">MNE </w:t>
      </w:r>
      <w:r w:rsidRPr="00DB3619">
        <w:rPr>
          <w:rFonts w:ascii="Times New Roman" w:hAnsi="Times New Roman"/>
          <w:i/>
        </w:rPr>
        <w:t xml:space="preserve">groups </w:t>
      </w:r>
      <w:r>
        <w:rPr>
          <w:rFonts w:ascii="Times New Roman" w:hAnsi="Times New Roman"/>
          <w:i/>
        </w:rPr>
        <w:t>in their territory</w:t>
      </w:r>
      <w:r w:rsidRPr="00DB3619">
        <w:rPr>
          <w:rFonts w:ascii="Times New Roman" w:hAnsi="Times New Roman"/>
          <w:i/>
        </w:rPr>
        <w:t>.</w:t>
      </w:r>
      <w:r>
        <w:rPr>
          <w:rFonts w:ascii="Times New Roman" w:hAnsi="Times New Roman"/>
          <w:i/>
        </w:rPr>
        <w:t xml:space="preserve"> If the NSIs have resources, they can also delineate the statistical units in the shared on-line application provided by Eurostat, otherwise </w:t>
      </w:r>
      <w:r w:rsidR="001261DE">
        <w:rPr>
          <w:rFonts w:ascii="Times New Roman" w:hAnsi="Times New Roman"/>
          <w:i/>
        </w:rPr>
        <w:t xml:space="preserve">it </w:t>
      </w:r>
      <w:r>
        <w:rPr>
          <w:rFonts w:ascii="Times New Roman" w:hAnsi="Times New Roman"/>
          <w:i/>
        </w:rPr>
        <w:t xml:space="preserve">will be updated in bulk during the automated data exchanges with the EGR. </w:t>
      </w:r>
    </w:p>
    <w:p w14:paraId="09D02DA3" w14:textId="54DBF464" w:rsidR="00380711" w:rsidRDefault="00380711" w:rsidP="001C7D48">
      <w:pPr>
        <w:jc w:val="both"/>
        <w:rPr>
          <w:rFonts w:ascii="Times New Roman" w:hAnsi="Times New Roman"/>
          <w:i/>
        </w:rPr>
      </w:pPr>
      <w:r>
        <w:rPr>
          <w:rFonts w:ascii="Times New Roman" w:hAnsi="Times New Roman"/>
          <w:i/>
        </w:rPr>
        <w:t>The new approach is expected to significantly increase the number of Top-tier MNE groups that can be profiled</w:t>
      </w:r>
      <w:r w:rsidR="001261DE">
        <w:rPr>
          <w:rFonts w:ascii="Times New Roman" w:hAnsi="Times New Roman"/>
          <w:i/>
        </w:rPr>
        <w:t xml:space="preserve"> by NSIs</w:t>
      </w:r>
      <w:r>
        <w:rPr>
          <w:rFonts w:ascii="Times New Roman" w:hAnsi="Times New Roman"/>
          <w:i/>
        </w:rPr>
        <w:t>, thus increasing the quality and reliability of EGR data and allow</w:t>
      </w:r>
      <w:r w:rsidR="001261DE">
        <w:rPr>
          <w:rFonts w:ascii="Times New Roman" w:hAnsi="Times New Roman"/>
          <w:i/>
        </w:rPr>
        <w:t>ing</w:t>
      </w:r>
      <w:r>
        <w:rPr>
          <w:rFonts w:ascii="Times New Roman" w:hAnsi="Times New Roman"/>
          <w:i/>
        </w:rPr>
        <w:t xml:space="preserve"> more frequent data releases. It is also aiming to reduce the burden on Eurostat and MS during the whole EGR process.</w:t>
      </w:r>
    </w:p>
    <w:p w14:paraId="12737E1D" w14:textId="77777777" w:rsidR="00380711" w:rsidRPr="00B50DB6" w:rsidRDefault="00380711" w:rsidP="00380711">
      <w:pPr>
        <w:rPr>
          <w:rFonts w:ascii="Times New Roman" w:hAnsi="Times New Roman"/>
          <w:i/>
        </w:rPr>
      </w:pPr>
      <w:r w:rsidRPr="00B50DB6">
        <w:rPr>
          <w:rFonts w:ascii="Times New Roman" w:hAnsi="Times New Roman"/>
          <w:i/>
        </w:rPr>
        <w:lastRenderedPageBreak/>
        <w:t xml:space="preserve">Keywords: </w:t>
      </w:r>
      <w:proofErr w:type="spellStart"/>
      <w:r>
        <w:rPr>
          <w:rFonts w:ascii="Times New Roman" w:hAnsi="Times New Roman"/>
          <w:i/>
        </w:rPr>
        <w:t>EuroGroup</w:t>
      </w:r>
      <w:proofErr w:type="spellEnd"/>
      <w:r>
        <w:rPr>
          <w:rFonts w:ascii="Times New Roman" w:hAnsi="Times New Roman"/>
          <w:i/>
        </w:rPr>
        <w:t xml:space="preserve"> Register, Complex and Statistical Impact index (CSI index), Top-tier groups</w:t>
      </w:r>
    </w:p>
    <w:p w14:paraId="2026A4B0" w14:textId="77777777" w:rsidR="00147C10" w:rsidRPr="001C7D48" w:rsidRDefault="00147C10" w:rsidP="00DD070A">
      <w:pPr>
        <w:rPr>
          <w:rFonts w:ascii="Times New Roman" w:hAnsi="Times New Roman"/>
          <w:i/>
        </w:rPr>
      </w:pPr>
    </w:p>
    <w:p w14:paraId="0588A94A" w14:textId="77777777" w:rsidR="00147C10" w:rsidRPr="00F620A4" w:rsidRDefault="00147C10" w:rsidP="00411D4E">
      <w:pPr>
        <w:pStyle w:val="berschrift1"/>
        <w:rPr>
          <w:rStyle w:val="Fett"/>
          <w:b/>
          <w:bCs w:val="0"/>
        </w:rPr>
      </w:pPr>
      <w:r w:rsidRPr="00F620A4">
        <w:rPr>
          <w:rStyle w:val="Fett"/>
          <w:b/>
          <w:bCs w:val="0"/>
        </w:rPr>
        <w:t>Introduction</w:t>
      </w:r>
    </w:p>
    <w:p w14:paraId="66D33BF2" w14:textId="5633F350" w:rsidR="00C54F42" w:rsidRPr="00F620A4" w:rsidRDefault="00C54F42" w:rsidP="00FC2E19">
      <w:pPr>
        <w:autoSpaceDE w:val="0"/>
        <w:autoSpaceDN w:val="0"/>
        <w:adjustRightInd w:val="0"/>
        <w:spacing w:after="0"/>
        <w:jc w:val="both"/>
        <w:rPr>
          <w:lang w:val="en-GB"/>
        </w:rPr>
      </w:pPr>
      <w:r w:rsidRPr="00F620A4">
        <w:rPr>
          <w:lang w:val="en-GB"/>
        </w:rPr>
        <w:t>Globalisation is significantly affecting</w:t>
      </w:r>
      <w:r w:rsidR="00F96B49">
        <w:rPr>
          <w:lang w:val="en-GB"/>
        </w:rPr>
        <w:t xml:space="preserve"> the</w:t>
      </w:r>
      <w:r w:rsidRPr="00F620A4">
        <w:rPr>
          <w:lang w:val="en-GB"/>
        </w:rPr>
        <w:t xml:space="preserve"> European economies. </w:t>
      </w:r>
      <w:r w:rsidR="00741635">
        <w:rPr>
          <w:lang w:val="en-GB"/>
        </w:rPr>
        <w:t xml:space="preserve">The </w:t>
      </w:r>
      <w:r w:rsidRPr="00F620A4">
        <w:rPr>
          <w:lang w:val="en-GB"/>
        </w:rPr>
        <w:t>M</w:t>
      </w:r>
      <w:r w:rsidR="00741635">
        <w:rPr>
          <w:lang w:val="en-GB"/>
        </w:rPr>
        <w:t>ultinational Enterprise (MNE)</w:t>
      </w:r>
      <w:r w:rsidRPr="00F620A4">
        <w:rPr>
          <w:lang w:val="en-GB"/>
        </w:rPr>
        <w:t xml:space="preserve"> </w:t>
      </w:r>
      <w:r w:rsidR="00741635">
        <w:rPr>
          <w:lang w:val="en-GB"/>
        </w:rPr>
        <w:t>g</w:t>
      </w:r>
      <w:r w:rsidRPr="00F620A4">
        <w:rPr>
          <w:lang w:val="en-GB"/>
        </w:rPr>
        <w:t xml:space="preserve">roups </w:t>
      </w:r>
      <w:r w:rsidR="00741635">
        <w:rPr>
          <w:lang w:val="en-GB"/>
        </w:rPr>
        <w:t>play</w:t>
      </w:r>
      <w:r w:rsidRPr="00F620A4">
        <w:rPr>
          <w:lang w:val="en-GB"/>
        </w:rPr>
        <w:t xml:space="preserve"> </w:t>
      </w:r>
      <w:r w:rsidR="00741635">
        <w:rPr>
          <w:lang w:val="en-GB"/>
        </w:rPr>
        <w:t>a significant role to globali</w:t>
      </w:r>
      <w:r w:rsidR="00267EC5">
        <w:rPr>
          <w:lang w:val="en-GB"/>
        </w:rPr>
        <w:t>s</w:t>
      </w:r>
      <w:r w:rsidR="00741635">
        <w:rPr>
          <w:lang w:val="en-GB"/>
        </w:rPr>
        <w:t>ation</w:t>
      </w:r>
      <w:r w:rsidR="00380711">
        <w:rPr>
          <w:lang w:val="en-GB"/>
        </w:rPr>
        <w:t>, therefore they</w:t>
      </w:r>
      <w:r w:rsidR="00741635">
        <w:rPr>
          <w:lang w:val="en-GB"/>
        </w:rPr>
        <w:t xml:space="preserve"> are a key</w:t>
      </w:r>
      <w:r w:rsidRPr="00F620A4">
        <w:rPr>
          <w:lang w:val="en-GB"/>
        </w:rPr>
        <w:t xml:space="preserve"> for the quality of business and macroeconomics statistics </w:t>
      </w:r>
      <w:r w:rsidR="00915822">
        <w:rPr>
          <w:lang w:val="en-GB"/>
        </w:rPr>
        <w:t>as well as</w:t>
      </w:r>
      <w:r w:rsidR="00915822" w:rsidRPr="00F620A4">
        <w:rPr>
          <w:lang w:val="en-GB"/>
        </w:rPr>
        <w:t xml:space="preserve"> </w:t>
      </w:r>
      <w:r w:rsidRPr="00F620A4">
        <w:rPr>
          <w:lang w:val="en-GB"/>
        </w:rPr>
        <w:t>for the largest asymmetries in the data</w:t>
      </w:r>
      <w:r w:rsidR="001261DE">
        <w:rPr>
          <w:lang w:val="en-GB"/>
        </w:rPr>
        <w:t xml:space="preserve"> on globalisation</w:t>
      </w:r>
      <w:r w:rsidRPr="00F620A4">
        <w:rPr>
          <w:lang w:val="en-GB"/>
        </w:rPr>
        <w:t xml:space="preserve">. Their fast-changing patterns of organisational structures and global arrangements put </w:t>
      </w:r>
      <w:r w:rsidR="00915822" w:rsidRPr="00F620A4">
        <w:rPr>
          <w:lang w:val="en-GB"/>
        </w:rPr>
        <w:t xml:space="preserve">increasingly </w:t>
      </w:r>
      <w:r w:rsidRPr="00F620A4">
        <w:rPr>
          <w:lang w:val="en-GB"/>
        </w:rPr>
        <w:t xml:space="preserve">to test well-established concepts and methods </w:t>
      </w:r>
      <w:r w:rsidR="00AB5106" w:rsidRPr="00F620A4">
        <w:rPr>
          <w:lang w:val="en-GB"/>
        </w:rPr>
        <w:t>to produce</w:t>
      </w:r>
      <w:r w:rsidRPr="00F620A4">
        <w:rPr>
          <w:lang w:val="en-GB"/>
        </w:rPr>
        <w:t xml:space="preserve"> </w:t>
      </w:r>
      <w:r w:rsidR="00920515" w:rsidRPr="00F620A4">
        <w:rPr>
          <w:lang w:val="en-GB"/>
        </w:rPr>
        <w:t>high-quality</w:t>
      </w:r>
      <w:r w:rsidRPr="00F620A4">
        <w:rPr>
          <w:lang w:val="en-GB"/>
        </w:rPr>
        <w:t xml:space="preserve"> statistics in a </w:t>
      </w:r>
      <w:r w:rsidR="00D13A2C">
        <w:rPr>
          <w:lang w:val="en-GB"/>
        </w:rPr>
        <w:t>timely</w:t>
      </w:r>
      <w:r w:rsidR="00D13A2C" w:rsidRPr="00F620A4">
        <w:rPr>
          <w:lang w:val="en-GB"/>
        </w:rPr>
        <w:t xml:space="preserve"> </w:t>
      </w:r>
      <w:r w:rsidRPr="00F620A4">
        <w:rPr>
          <w:lang w:val="en-GB"/>
        </w:rPr>
        <w:t xml:space="preserve">manner. In the last decade, the European Statistical System (ESS) has developed several solutions to react to specific domain driven needs and has significantly increased the capacity to understand MNE groups’ structures, their activities and behaviour and to work collaboratively using secure tools and agreed methodologies. </w:t>
      </w:r>
      <w:r w:rsidRPr="00F620A4">
        <w:rPr>
          <w:i/>
          <w:iCs/>
          <w:lang w:val="en-GB"/>
        </w:rPr>
        <w:t xml:space="preserve">The </w:t>
      </w:r>
      <w:r w:rsidR="00AB5106" w:rsidRPr="00F620A4">
        <w:rPr>
          <w:i/>
          <w:iCs/>
          <w:lang w:val="en-GB"/>
        </w:rPr>
        <w:t>main</w:t>
      </w:r>
      <w:r w:rsidRPr="00F620A4">
        <w:rPr>
          <w:i/>
          <w:iCs/>
          <w:lang w:val="en-GB"/>
        </w:rPr>
        <w:t xml:space="preserve"> objective is to improve the consistency of the statistical output across domains and countries in the Union and be able to continue providing high quality official European statistics to users</w:t>
      </w:r>
      <w:r w:rsidR="00AB5106" w:rsidRPr="00F620A4">
        <w:rPr>
          <w:i/>
          <w:iCs/>
          <w:lang w:val="en-GB"/>
        </w:rPr>
        <w:t>.</w:t>
      </w:r>
    </w:p>
    <w:p w14:paraId="50AF985E" w14:textId="77777777" w:rsidR="00C54F42" w:rsidRPr="00F620A4" w:rsidRDefault="00C54F42" w:rsidP="00FC2E19">
      <w:pPr>
        <w:autoSpaceDE w:val="0"/>
        <w:autoSpaceDN w:val="0"/>
        <w:adjustRightInd w:val="0"/>
        <w:spacing w:after="0"/>
        <w:jc w:val="both"/>
        <w:rPr>
          <w:lang w:val="en-GB"/>
        </w:rPr>
      </w:pPr>
    </w:p>
    <w:p w14:paraId="7B7525BC" w14:textId="77777777" w:rsidR="008C593E" w:rsidRPr="00F620A4" w:rsidRDefault="008C593E" w:rsidP="008C593E">
      <w:pPr>
        <w:pStyle w:val="berschrift1"/>
        <w:rPr>
          <w:rStyle w:val="Fett"/>
          <w:b/>
          <w:bCs w:val="0"/>
        </w:rPr>
      </w:pPr>
      <w:r w:rsidRPr="00F620A4">
        <w:rPr>
          <w:rStyle w:val="Fett"/>
          <w:b/>
          <w:bCs w:val="0"/>
        </w:rPr>
        <w:t>Eurogroup Register (EGR)</w:t>
      </w:r>
    </w:p>
    <w:p w14:paraId="235ABF6C" w14:textId="77777777" w:rsidR="00317CF9" w:rsidRDefault="00AB5106" w:rsidP="00317CF9">
      <w:pPr>
        <w:autoSpaceDE w:val="0"/>
        <w:autoSpaceDN w:val="0"/>
        <w:adjustRightInd w:val="0"/>
        <w:spacing w:after="120"/>
        <w:jc w:val="both"/>
        <w:rPr>
          <w:lang w:val="en-GB"/>
        </w:rPr>
      </w:pPr>
      <w:r w:rsidRPr="00F620A4">
        <w:rPr>
          <w:color w:val="000000"/>
          <w:lang w:val="en-GB"/>
        </w:rPr>
        <w:t>One of the key element</w:t>
      </w:r>
      <w:r w:rsidR="008C593E">
        <w:rPr>
          <w:color w:val="000000"/>
          <w:lang w:val="en-GB"/>
        </w:rPr>
        <w:t>s to achieve this objective</w:t>
      </w:r>
      <w:r w:rsidRPr="00F620A4">
        <w:rPr>
          <w:color w:val="000000"/>
          <w:lang w:val="en-GB"/>
        </w:rPr>
        <w:t xml:space="preserve"> is t</w:t>
      </w:r>
      <w:r w:rsidR="00A91F98" w:rsidRPr="00F620A4">
        <w:rPr>
          <w:color w:val="000000"/>
          <w:lang w:val="en-GB"/>
        </w:rPr>
        <w:t>he EuroGroups Register (EGR)</w:t>
      </w:r>
      <w:r w:rsidR="008C593E">
        <w:rPr>
          <w:color w:val="000000"/>
          <w:lang w:val="en-GB"/>
        </w:rPr>
        <w:t>. The</w:t>
      </w:r>
      <w:r w:rsidR="00A91F98" w:rsidRPr="00F620A4">
        <w:rPr>
          <w:color w:val="000000"/>
          <w:lang w:val="en-GB"/>
        </w:rPr>
        <w:t xml:space="preserve"> project </w:t>
      </w:r>
      <w:r w:rsidR="00915822">
        <w:rPr>
          <w:color w:val="000000"/>
          <w:lang w:val="en-GB"/>
        </w:rPr>
        <w:t xml:space="preserve">to establish the EGR </w:t>
      </w:r>
      <w:r w:rsidR="00A91F98" w:rsidRPr="00F620A4">
        <w:rPr>
          <w:color w:val="000000"/>
          <w:lang w:val="en-GB"/>
        </w:rPr>
        <w:t xml:space="preserve">started in 2008 </w:t>
      </w:r>
      <w:r w:rsidR="008C593E">
        <w:rPr>
          <w:color w:val="000000"/>
          <w:lang w:val="en-GB"/>
        </w:rPr>
        <w:t>and was implemented in</w:t>
      </w:r>
      <w:r w:rsidR="00396D41" w:rsidRPr="00F620A4">
        <w:rPr>
          <w:color w:val="000000"/>
          <w:lang w:val="en-GB"/>
        </w:rPr>
        <w:t xml:space="preserve"> cooperation between Eurostat and the National Statistical Offices (NSIs) of the EU Member States and EFTA countries, by pooling together microdata on legal units, ownership relationships, enterprises, links from legal units to the enterprises, and enterprise groups. The EGR contains structural economic information on MNE groups with legal units in at least one European country. The EGR database is meant for statistical use only in accordance with</w:t>
      </w:r>
      <w:r w:rsidR="00F15476">
        <w:rPr>
          <w:color w:val="000000"/>
          <w:lang w:val="en-GB"/>
        </w:rPr>
        <w:t xml:space="preserve"> the</w:t>
      </w:r>
      <w:r w:rsidR="00396D41" w:rsidRPr="00F620A4">
        <w:rPr>
          <w:color w:val="000000"/>
          <w:lang w:val="en-GB"/>
        </w:rPr>
        <w:t xml:space="preserve"> legislation in force. </w:t>
      </w:r>
      <w:r w:rsidR="00396D41" w:rsidRPr="00F620A4">
        <w:rPr>
          <w:lang w:val="en-GB"/>
        </w:rPr>
        <w:t xml:space="preserve">It is the common </w:t>
      </w:r>
      <w:r w:rsidR="001261DE" w:rsidRPr="00F620A4">
        <w:rPr>
          <w:lang w:val="en-GB"/>
        </w:rPr>
        <w:t>European statistical</w:t>
      </w:r>
      <w:r w:rsidR="001261DE">
        <w:rPr>
          <w:lang w:val="en-GB"/>
        </w:rPr>
        <w:t xml:space="preserve"> </w:t>
      </w:r>
      <w:r w:rsidR="001A2FE6">
        <w:rPr>
          <w:lang w:val="en-GB"/>
        </w:rPr>
        <w:t>infrastructure,</w:t>
      </w:r>
      <w:r w:rsidR="00396D41" w:rsidRPr="00F620A4">
        <w:rPr>
          <w:lang w:val="en-GB"/>
        </w:rPr>
        <w:t xml:space="preserve"> </w:t>
      </w:r>
      <w:r w:rsidR="001261DE" w:rsidRPr="00F620A4">
        <w:rPr>
          <w:color w:val="000000"/>
          <w:lang w:val="en-GB"/>
        </w:rPr>
        <w:t xml:space="preserve">and it is restricted to users of </w:t>
      </w:r>
      <w:r w:rsidR="00D41D98">
        <w:rPr>
          <w:lang w:val="en-GB"/>
        </w:rPr>
        <w:t xml:space="preserve">Eurostat, </w:t>
      </w:r>
      <w:r w:rsidR="00396D41" w:rsidRPr="00F620A4">
        <w:rPr>
          <w:lang w:val="en-GB"/>
        </w:rPr>
        <w:t>National Statistical Institutes (NSIs)</w:t>
      </w:r>
      <w:r w:rsidR="00D41D98">
        <w:rPr>
          <w:lang w:val="en-GB"/>
        </w:rPr>
        <w:t>,</w:t>
      </w:r>
      <w:r w:rsidR="00396D41" w:rsidRPr="00F620A4">
        <w:rPr>
          <w:lang w:val="en-GB"/>
        </w:rPr>
        <w:t xml:space="preserve"> National Central Banks, </w:t>
      </w:r>
      <w:r w:rsidR="00D41D98">
        <w:rPr>
          <w:lang w:val="en-GB"/>
        </w:rPr>
        <w:t xml:space="preserve">and the European Central Bank </w:t>
      </w:r>
      <w:r w:rsidR="00F96B49">
        <w:rPr>
          <w:lang w:val="en-GB"/>
        </w:rPr>
        <w:t xml:space="preserve">aiming </w:t>
      </w:r>
      <w:r w:rsidR="009C0B0D" w:rsidRPr="00F620A4">
        <w:rPr>
          <w:lang w:val="en-GB"/>
        </w:rPr>
        <w:t>to produce</w:t>
      </w:r>
      <w:r w:rsidR="00396D41" w:rsidRPr="00F620A4">
        <w:rPr>
          <w:lang w:val="en-GB"/>
        </w:rPr>
        <w:t xml:space="preserve"> </w:t>
      </w:r>
      <w:r w:rsidR="00F96B49">
        <w:rPr>
          <w:lang w:val="en-GB"/>
        </w:rPr>
        <w:t xml:space="preserve">high quality </w:t>
      </w:r>
      <w:r w:rsidR="004820A6">
        <w:rPr>
          <w:lang w:val="en-GB"/>
        </w:rPr>
        <w:t xml:space="preserve">business </w:t>
      </w:r>
      <w:r w:rsidR="00396D41" w:rsidRPr="00F620A4">
        <w:rPr>
          <w:lang w:val="en-GB"/>
        </w:rPr>
        <w:t xml:space="preserve">statistics </w:t>
      </w:r>
      <w:r w:rsidR="007563A1">
        <w:rPr>
          <w:lang w:val="en-GB"/>
        </w:rPr>
        <w:t xml:space="preserve">on </w:t>
      </w:r>
      <w:r w:rsidR="00396D41" w:rsidRPr="00F620A4">
        <w:rPr>
          <w:lang w:val="en-GB"/>
        </w:rPr>
        <w:t>globali</w:t>
      </w:r>
      <w:r w:rsidR="004820A6">
        <w:rPr>
          <w:lang w:val="en-GB"/>
        </w:rPr>
        <w:t>s</w:t>
      </w:r>
      <w:r w:rsidR="00396D41" w:rsidRPr="00F620A4">
        <w:rPr>
          <w:lang w:val="en-GB"/>
        </w:rPr>
        <w:t>ation.</w:t>
      </w:r>
    </w:p>
    <w:p w14:paraId="30EB10E3" w14:textId="18E1A3EF" w:rsidR="00317CF9" w:rsidRPr="00317CF9" w:rsidRDefault="00317CF9" w:rsidP="00317CF9">
      <w:pPr>
        <w:autoSpaceDE w:val="0"/>
        <w:autoSpaceDN w:val="0"/>
        <w:adjustRightInd w:val="0"/>
        <w:spacing w:after="120"/>
        <w:jc w:val="both"/>
        <w:rPr>
          <w:rFonts w:cs="Calibri"/>
          <w:bCs/>
          <w:szCs w:val="18"/>
          <w:lang w:val="en-GB"/>
        </w:rPr>
      </w:pPr>
      <w:r w:rsidRPr="00317CF9">
        <w:rPr>
          <w:rFonts w:cs="Calibri"/>
          <w:bCs/>
          <w:szCs w:val="18"/>
          <w:lang w:val="en-GB"/>
        </w:rPr>
        <w:t xml:space="preserve">In the EGR, input information coming from the NSIs is treated according to priority rules that are used to resolve inconsistencies and duplicated information. </w:t>
      </w:r>
    </w:p>
    <w:p w14:paraId="52846913" w14:textId="44F3955A" w:rsidR="001C532E" w:rsidRDefault="001C532E" w:rsidP="00317CF9">
      <w:pPr>
        <w:spacing w:after="120"/>
        <w:jc w:val="both"/>
        <w:rPr>
          <w:rStyle w:val="Fett"/>
          <w:b w:val="0"/>
          <w:bCs w:val="0"/>
          <w:lang w:val="en-GB"/>
        </w:rPr>
      </w:pPr>
      <w:r w:rsidRPr="00F620A4">
        <w:rPr>
          <w:rStyle w:val="Fett"/>
          <w:b w:val="0"/>
          <w:bCs w:val="0"/>
          <w:lang w:val="en-GB"/>
        </w:rPr>
        <w:t xml:space="preserve">The figure </w:t>
      </w:r>
      <w:r>
        <w:rPr>
          <w:rStyle w:val="Fett"/>
          <w:b w:val="0"/>
          <w:bCs w:val="0"/>
          <w:lang w:val="en-GB"/>
        </w:rPr>
        <w:t>1</w:t>
      </w:r>
      <w:r w:rsidRPr="00F620A4">
        <w:rPr>
          <w:rStyle w:val="Fett"/>
          <w:b w:val="0"/>
          <w:bCs w:val="0"/>
          <w:lang w:val="en-GB"/>
        </w:rPr>
        <w:t xml:space="preserve"> shows </w:t>
      </w:r>
      <w:r>
        <w:rPr>
          <w:rStyle w:val="Fett"/>
          <w:b w:val="0"/>
          <w:bCs w:val="0"/>
          <w:lang w:val="en-GB"/>
        </w:rPr>
        <w:t>how different views of the same MNE group available at national level are consolidated by the EGR to provide one common global view.</w:t>
      </w:r>
    </w:p>
    <w:p w14:paraId="44093961" w14:textId="77777777" w:rsidR="00317CF9" w:rsidRPr="00F620A4" w:rsidRDefault="00317CF9" w:rsidP="001C532E">
      <w:pPr>
        <w:jc w:val="both"/>
        <w:rPr>
          <w:rStyle w:val="Fett"/>
          <w:b w:val="0"/>
          <w:bCs w:val="0"/>
          <w:lang w:val="en-GB"/>
        </w:rPr>
      </w:pPr>
    </w:p>
    <w:p w14:paraId="3CBFDC3D" w14:textId="2D99AD2E" w:rsidR="001C532E" w:rsidRPr="00F620A4" w:rsidRDefault="00707E0B" w:rsidP="001C532E">
      <w:pPr>
        <w:keepNext/>
        <w:shd w:val="clear" w:color="auto" w:fill="FFFFFF"/>
        <w:spacing w:before="150" w:after="0" w:line="240" w:lineRule="auto"/>
        <w:jc w:val="center"/>
        <w:rPr>
          <w:lang w:val="en-GB"/>
        </w:rPr>
      </w:pPr>
      <w:r>
        <w:rPr>
          <w:rStyle w:val="Fett"/>
          <w:b w:val="0"/>
          <w:bCs w:val="0"/>
          <w:noProof/>
          <w:lang w:val="en-GB"/>
        </w:rPr>
        <w:lastRenderedPageBreak/>
        <w:drawing>
          <wp:inline distT="0" distB="0" distL="0" distR="0" wp14:anchorId="5A7EEE2F" wp14:editId="2B927B87">
            <wp:extent cx="3829050" cy="23145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9050" cy="2314575"/>
                    </a:xfrm>
                    <a:prstGeom prst="rect">
                      <a:avLst/>
                    </a:prstGeom>
                    <a:noFill/>
                    <a:ln>
                      <a:noFill/>
                    </a:ln>
                  </pic:spPr>
                </pic:pic>
              </a:graphicData>
            </a:graphic>
          </wp:inline>
        </w:drawing>
      </w:r>
    </w:p>
    <w:p w14:paraId="2770DDF0" w14:textId="5EABA190" w:rsidR="001C532E" w:rsidRPr="00A0672A" w:rsidRDefault="001C532E" w:rsidP="001C532E">
      <w:pPr>
        <w:pStyle w:val="Beschriftung"/>
        <w:jc w:val="center"/>
        <w:rPr>
          <w:rStyle w:val="Fett"/>
          <w:b/>
          <w:bCs/>
          <w:sz w:val="22"/>
          <w:szCs w:val="22"/>
          <w:lang w:val="en-GB"/>
        </w:rPr>
      </w:pPr>
      <w:r w:rsidRPr="00F620A4">
        <w:rPr>
          <w:lang w:val="en-GB"/>
        </w:rPr>
        <w:t xml:space="preserve">Figure </w:t>
      </w:r>
      <w:r w:rsidR="001A2FE6">
        <w:rPr>
          <w:lang w:val="en-GB"/>
        </w:rPr>
        <w:t>1</w:t>
      </w:r>
      <w:r w:rsidR="001A2FE6" w:rsidRPr="00F620A4">
        <w:rPr>
          <w:lang w:val="en-GB"/>
        </w:rPr>
        <w:t>:</w:t>
      </w:r>
      <w:r w:rsidRPr="00F620A4">
        <w:rPr>
          <w:lang w:val="en-GB"/>
        </w:rPr>
        <w:t xml:space="preserve"> </w:t>
      </w:r>
      <w:r w:rsidR="00F96B49">
        <w:rPr>
          <w:lang w:val="en-GB"/>
        </w:rPr>
        <w:t>The global view</w:t>
      </w:r>
      <w:r w:rsidR="00F96B49" w:rsidRPr="00F620A4">
        <w:rPr>
          <w:lang w:val="en-GB"/>
        </w:rPr>
        <w:t xml:space="preserve"> </w:t>
      </w:r>
      <w:r w:rsidR="00F96B49">
        <w:rPr>
          <w:lang w:val="en-GB"/>
        </w:rPr>
        <w:t>thanks to the</w:t>
      </w:r>
      <w:r w:rsidRPr="00F620A4">
        <w:rPr>
          <w:lang w:val="en-GB"/>
        </w:rPr>
        <w:t xml:space="preserve"> EGR</w:t>
      </w:r>
    </w:p>
    <w:p w14:paraId="1DD952CD" w14:textId="77777777" w:rsidR="00396D41" w:rsidRPr="00F620A4" w:rsidRDefault="00396D41" w:rsidP="00396D41">
      <w:pPr>
        <w:autoSpaceDE w:val="0"/>
        <w:autoSpaceDN w:val="0"/>
        <w:adjustRightInd w:val="0"/>
        <w:spacing w:after="0"/>
        <w:rPr>
          <w:color w:val="000000"/>
          <w:lang w:val="en-GB"/>
        </w:rPr>
      </w:pPr>
    </w:p>
    <w:p w14:paraId="364A0F8B" w14:textId="21CEFE6F" w:rsidR="00317CF9" w:rsidRPr="00317CF9" w:rsidRDefault="00317CF9" w:rsidP="000E6912">
      <w:pPr>
        <w:pStyle w:val="berschrift1"/>
        <w:rPr>
          <w:rStyle w:val="Fett"/>
          <w:b/>
          <w:bCs w:val="0"/>
        </w:rPr>
      </w:pPr>
      <w:r>
        <w:rPr>
          <w:rStyle w:val="Fett"/>
          <w:b/>
          <w:bCs w:val="0"/>
        </w:rPr>
        <w:t xml:space="preserve">A Two-tier approach </w:t>
      </w:r>
      <w:r w:rsidRPr="00317CF9">
        <w:rPr>
          <w:rStyle w:val="Fett"/>
          <w:b/>
          <w:bCs w:val="0"/>
        </w:rPr>
        <w:t xml:space="preserve">on MNE groups </w:t>
      </w:r>
      <w:r>
        <w:rPr>
          <w:rStyle w:val="Fett"/>
          <w:b/>
          <w:bCs w:val="0"/>
        </w:rPr>
        <w:t xml:space="preserve">for </w:t>
      </w:r>
      <w:r w:rsidRPr="00317CF9">
        <w:rPr>
          <w:rStyle w:val="Fett"/>
          <w:b/>
          <w:bCs w:val="0"/>
        </w:rPr>
        <w:t>high quality data in EGR</w:t>
      </w:r>
    </w:p>
    <w:p w14:paraId="354A4576" w14:textId="50BBC8DC" w:rsidR="00396D41" w:rsidRPr="00317CF9" w:rsidRDefault="001C532E" w:rsidP="00317CF9">
      <w:pPr>
        <w:autoSpaceDE w:val="0"/>
        <w:autoSpaceDN w:val="0"/>
        <w:adjustRightInd w:val="0"/>
        <w:spacing w:after="120"/>
        <w:jc w:val="both"/>
        <w:rPr>
          <w:color w:val="000000"/>
          <w:lang w:val="en-GB"/>
        </w:rPr>
      </w:pPr>
      <w:r w:rsidRPr="00317CF9">
        <w:rPr>
          <w:color w:val="000000"/>
          <w:lang w:val="en-GB"/>
        </w:rPr>
        <w:t>In the last couple of years, t</w:t>
      </w:r>
      <w:r w:rsidR="00396D41" w:rsidRPr="00317CF9">
        <w:rPr>
          <w:color w:val="000000"/>
          <w:lang w:val="en-GB"/>
        </w:rPr>
        <w:t xml:space="preserve">he EGR </w:t>
      </w:r>
      <w:r w:rsidRPr="00317CF9">
        <w:rPr>
          <w:color w:val="000000"/>
          <w:lang w:val="en-GB"/>
        </w:rPr>
        <w:t xml:space="preserve">system, </w:t>
      </w:r>
      <w:r w:rsidR="00317CF9" w:rsidRPr="00317CF9">
        <w:rPr>
          <w:color w:val="000000"/>
          <w:lang w:val="en-GB"/>
        </w:rPr>
        <w:t>process,</w:t>
      </w:r>
      <w:r w:rsidRPr="00317CF9">
        <w:rPr>
          <w:color w:val="000000"/>
          <w:lang w:val="en-GB"/>
        </w:rPr>
        <w:t xml:space="preserve"> and output, </w:t>
      </w:r>
      <w:r w:rsidR="00DE2A4D" w:rsidRPr="00317CF9">
        <w:rPr>
          <w:color w:val="000000"/>
          <w:lang w:val="en-GB"/>
        </w:rPr>
        <w:t xml:space="preserve">are </w:t>
      </w:r>
      <w:r w:rsidR="00741635" w:rsidRPr="00317CF9">
        <w:rPr>
          <w:color w:val="000000"/>
          <w:lang w:val="en-GB"/>
        </w:rPr>
        <w:t>be</w:t>
      </w:r>
      <w:r w:rsidR="00DE2A4D" w:rsidRPr="00317CF9">
        <w:rPr>
          <w:color w:val="000000"/>
          <w:lang w:val="en-GB"/>
        </w:rPr>
        <w:t>ing</w:t>
      </w:r>
      <w:r w:rsidR="00741635" w:rsidRPr="00317CF9">
        <w:rPr>
          <w:color w:val="000000"/>
          <w:lang w:val="en-GB"/>
        </w:rPr>
        <w:t xml:space="preserve"> </w:t>
      </w:r>
      <w:r w:rsidR="00380711" w:rsidRPr="00317CF9">
        <w:rPr>
          <w:color w:val="000000"/>
          <w:lang w:val="en-GB"/>
        </w:rPr>
        <w:t>transformed</w:t>
      </w:r>
      <w:r w:rsidR="007563A1" w:rsidRPr="00317CF9">
        <w:rPr>
          <w:color w:val="000000"/>
          <w:lang w:val="en-GB"/>
        </w:rPr>
        <w:t xml:space="preserve"> </w:t>
      </w:r>
      <w:r w:rsidR="00DE2A4D" w:rsidRPr="00317CF9">
        <w:rPr>
          <w:color w:val="000000"/>
          <w:lang w:val="en-GB"/>
        </w:rPr>
        <w:t xml:space="preserve">in order </w:t>
      </w:r>
      <w:r w:rsidR="007563A1" w:rsidRPr="00317CF9">
        <w:rPr>
          <w:color w:val="000000"/>
          <w:lang w:val="en-GB"/>
        </w:rPr>
        <w:t>to respond to</w:t>
      </w:r>
      <w:r w:rsidR="00D41D98" w:rsidRPr="00317CF9">
        <w:rPr>
          <w:color w:val="000000"/>
          <w:lang w:val="en-GB"/>
        </w:rPr>
        <w:t xml:space="preserve"> serve</w:t>
      </w:r>
      <w:r w:rsidR="007563A1" w:rsidRPr="00317CF9">
        <w:rPr>
          <w:color w:val="000000"/>
          <w:lang w:val="en-GB"/>
        </w:rPr>
        <w:t xml:space="preserve"> the new requirements indicated in the Bratislava</w:t>
      </w:r>
      <w:r w:rsidR="00396D41" w:rsidRPr="00317CF9">
        <w:rPr>
          <w:color w:val="000000"/>
          <w:lang w:val="en-GB"/>
        </w:rPr>
        <w:t xml:space="preserve"> conclusions </w:t>
      </w:r>
      <w:r w:rsidR="003571F5" w:rsidRPr="00317CF9">
        <w:rPr>
          <w:color w:val="000000"/>
          <w:lang w:val="en-GB"/>
        </w:rPr>
        <w:t xml:space="preserve">([1]) </w:t>
      </w:r>
      <w:r w:rsidR="00396D41" w:rsidRPr="00317CF9">
        <w:rPr>
          <w:color w:val="000000"/>
          <w:lang w:val="en-GB"/>
        </w:rPr>
        <w:t xml:space="preserve">of the 2019 conference of </w:t>
      </w:r>
      <w:proofErr w:type="spellStart"/>
      <w:r w:rsidR="00396D41" w:rsidRPr="00317CF9">
        <w:rPr>
          <w:color w:val="000000"/>
          <w:lang w:val="en-GB"/>
        </w:rPr>
        <w:t>Directeurs</w:t>
      </w:r>
      <w:proofErr w:type="spellEnd"/>
      <w:r w:rsidR="00396D41" w:rsidRPr="00317CF9">
        <w:rPr>
          <w:color w:val="000000"/>
          <w:lang w:val="en-GB"/>
        </w:rPr>
        <w:t xml:space="preserve"> </w:t>
      </w:r>
      <w:proofErr w:type="spellStart"/>
      <w:r w:rsidR="00396D41" w:rsidRPr="00317CF9">
        <w:rPr>
          <w:color w:val="000000"/>
          <w:lang w:val="en-GB"/>
        </w:rPr>
        <w:t>Généraux</w:t>
      </w:r>
      <w:proofErr w:type="spellEnd"/>
      <w:r w:rsidR="00396D41" w:rsidRPr="00317CF9">
        <w:rPr>
          <w:color w:val="000000"/>
          <w:lang w:val="en-GB"/>
        </w:rPr>
        <w:t xml:space="preserve"> des </w:t>
      </w:r>
      <w:proofErr w:type="spellStart"/>
      <w:r w:rsidR="00396D41" w:rsidRPr="00317CF9">
        <w:rPr>
          <w:color w:val="000000"/>
          <w:lang w:val="en-GB"/>
        </w:rPr>
        <w:t>Instituts</w:t>
      </w:r>
      <w:proofErr w:type="spellEnd"/>
      <w:r w:rsidR="00396D41" w:rsidRPr="00317CF9">
        <w:rPr>
          <w:color w:val="000000"/>
          <w:lang w:val="en-GB"/>
        </w:rPr>
        <w:t xml:space="preserve"> </w:t>
      </w:r>
      <w:proofErr w:type="spellStart"/>
      <w:r w:rsidR="00396D41" w:rsidRPr="00317CF9">
        <w:rPr>
          <w:color w:val="000000"/>
          <w:lang w:val="en-GB"/>
        </w:rPr>
        <w:t>Nationaux</w:t>
      </w:r>
      <w:proofErr w:type="spellEnd"/>
      <w:r w:rsidR="00396D41" w:rsidRPr="00317CF9">
        <w:rPr>
          <w:color w:val="000000"/>
          <w:lang w:val="en-GB"/>
        </w:rPr>
        <w:t xml:space="preserve"> de </w:t>
      </w:r>
      <w:proofErr w:type="spellStart"/>
      <w:r w:rsidR="00396D41" w:rsidRPr="00317CF9">
        <w:rPr>
          <w:color w:val="000000"/>
          <w:lang w:val="en-GB"/>
        </w:rPr>
        <w:t>Statistiques</w:t>
      </w:r>
      <w:proofErr w:type="spellEnd"/>
      <w:r w:rsidR="00396D41" w:rsidRPr="00317CF9">
        <w:rPr>
          <w:color w:val="000000"/>
          <w:lang w:val="en-GB"/>
        </w:rPr>
        <w:t xml:space="preserve"> (DGINS)</w:t>
      </w:r>
      <w:r w:rsidR="00396D41" w:rsidRPr="00317CF9">
        <w:rPr>
          <w:color w:val="000000"/>
          <w:lang w:val="en-GB"/>
        </w:rPr>
        <w:footnoteReference w:id="1"/>
      </w:r>
      <w:r w:rsidR="00396D41" w:rsidRPr="00317CF9">
        <w:rPr>
          <w:color w:val="000000"/>
          <w:lang w:val="en-GB"/>
        </w:rPr>
        <w:t xml:space="preserve">, with a view to bring various activities, </w:t>
      </w:r>
      <w:r w:rsidR="00FC36F2" w:rsidRPr="00317CF9">
        <w:rPr>
          <w:color w:val="000000"/>
          <w:lang w:val="en-GB"/>
        </w:rPr>
        <w:t>instruments,</w:t>
      </w:r>
      <w:r w:rsidR="00396D41" w:rsidRPr="00317CF9">
        <w:rPr>
          <w:color w:val="000000"/>
          <w:lang w:val="en-GB"/>
        </w:rPr>
        <w:t xml:space="preserve"> and capacities together in a systematic, </w:t>
      </w:r>
      <w:r w:rsidR="00DE2B81" w:rsidRPr="00317CF9">
        <w:rPr>
          <w:color w:val="000000"/>
          <w:lang w:val="en-GB"/>
        </w:rPr>
        <w:t xml:space="preserve">coordinated, </w:t>
      </w:r>
      <w:r w:rsidR="00396D41" w:rsidRPr="00317CF9">
        <w:rPr>
          <w:color w:val="000000"/>
          <w:lang w:val="en-GB"/>
        </w:rPr>
        <w:t xml:space="preserve">cost-effective joint approach and </w:t>
      </w:r>
      <w:r w:rsidR="00C9069C" w:rsidRPr="00317CF9">
        <w:rPr>
          <w:color w:val="000000"/>
          <w:lang w:val="en-GB"/>
        </w:rPr>
        <w:t>for</w:t>
      </w:r>
      <w:r w:rsidR="00396D41" w:rsidRPr="00317CF9">
        <w:rPr>
          <w:color w:val="000000"/>
          <w:lang w:val="en-GB"/>
        </w:rPr>
        <w:t>:</w:t>
      </w:r>
    </w:p>
    <w:p w14:paraId="7D57822D" w14:textId="3D27CC77" w:rsidR="00396D41" w:rsidRPr="00EA23D6" w:rsidRDefault="00396D41" w:rsidP="00396D41">
      <w:pPr>
        <w:pStyle w:val="Listenabsatz"/>
        <w:numPr>
          <w:ilvl w:val="0"/>
          <w:numId w:val="3"/>
        </w:numPr>
        <w:tabs>
          <w:tab w:val="left" w:pos="426"/>
        </w:tabs>
        <w:autoSpaceDE w:val="0"/>
        <w:autoSpaceDN w:val="0"/>
        <w:adjustRightInd w:val="0"/>
        <w:spacing w:after="240"/>
        <w:rPr>
          <w:rFonts w:ascii="Calibri" w:hAnsi="Calibri" w:cs="Calibri"/>
          <w:sz w:val="22"/>
          <w:szCs w:val="22"/>
        </w:rPr>
      </w:pPr>
      <w:r w:rsidRPr="00EA23D6">
        <w:rPr>
          <w:rFonts w:ascii="Calibri" w:hAnsi="Calibri" w:cs="Calibri"/>
          <w:color w:val="000000"/>
          <w:sz w:val="22"/>
          <w:szCs w:val="22"/>
        </w:rPr>
        <w:t>ensuring ‘</w:t>
      </w:r>
      <w:r w:rsidRPr="00EA23D6">
        <w:rPr>
          <w:rFonts w:ascii="Calibri" w:hAnsi="Calibri" w:cs="Calibri"/>
          <w:i/>
          <w:color w:val="000000"/>
          <w:sz w:val="22"/>
          <w:szCs w:val="22"/>
        </w:rPr>
        <w:t>high quality and up-to-date statistical business registers</w:t>
      </w:r>
      <w:r w:rsidR="008C7E57">
        <w:rPr>
          <w:rFonts w:ascii="Calibri" w:hAnsi="Calibri" w:cs="Calibri"/>
          <w:i/>
          <w:color w:val="000000"/>
          <w:sz w:val="22"/>
          <w:szCs w:val="22"/>
        </w:rPr>
        <w:t xml:space="preserve"> [</w:t>
      </w:r>
      <w:r w:rsidR="00F958F5">
        <w:rPr>
          <w:rFonts w:ascii="Calibri" w:hAnsi="Calibri" w:cs="Calibri"/>
          <w:i/>
          <w:color w:val="000000"/>
          <w:sz w:val="22"/>
          <w:szCs w:val="22"/>
        </w:rPr>
        <w:t>2</w:t>
      </w:r>
      <w:r w:rsidR="008C7E57">
        <w:rPr>
          <w:rFonts w:ascii="Calibri" w:hAnsi="Calibri" w:cs="Calibri"/>
          <w:i/>
          <w:color w:val="000000"/>
          <w:sz w:val="22"/>
          <w:szCs w:val="22"/>
        </w:rPr>
        <w:t>]</w:t>
      </w:r>
      <w:r w:rsidRPr="00EA23D6">
        <w:rPr>
          <w:rFonts w:ascii="Calibri" w:hAnsi="Calibri" w:cs="Calibri"/>
          <w:i/>
          <w:color w:val="000000"/>
          <w:sz w:val="22"/>
          <w:szCs w:val="22"/>
        </w:rPr>
        <w:t xml:space="preserve"> (national and European) as a necessary infrastructure for the coordination of statistical activities and exchange of data on MNE groups</w:t>
      </w:r>
      <w:r w:rsidRPr="00EA23D6">
        <w:rPr>
          <w:rFonts w:ascii="Calibri" w:hAnsi="Calibri" w:cs="Calibri"/>
          <w:color w:val="000000"/>
          <w:sz w:val="22"/>
          <w:szCs w:val="22"/>
        </w:rPr>
        <w:t xml:space="preserve">’; </w:t>
      </w:r>
    </w:p>
    <w:p w14:paraId="2129EF09" w14:textId="77777777" w:rsidR="00396D41" w:rsidRPr="00EA23D6" w:rsidRDefault="00396D41" w:rsidP="00396D41">
      <w:pPr>
        <w:pStyle w:val="Listenabsatz"/>
        <w:numPr>
          <w:ilvl w:val="0"/>
          <w:numId w:val="3"/>
        </w:numPr>
        <w:tabs>
          <w:tab w:val="left" w:pos="426"/>
        </w:tabs>
        <w:autoSpaceDE w:val="0"/>
        <w:autoSpaceDN w:val="0"/>
        <w:adjustRightInd w:val="0"/>
        <w:spacing w:after="240"/>
        <w:rPr>
          <w:rFonts w:ascii="Calibri" w:hAnsi="Calibri" w:cs="Calibri"/>
          <w:sz w:val="22"/>
          <w:szCs w:val="22"/>
        </w:rPr>
      </w:pPr>
      <w:r w:rsidRPr="00EA23D6">
        <w:rPr>
          <w:rFonts w:ascii="Calibri" w:hAnsi="Calibri" w:cs="Calibri"/>
          <w:color w:val="000000"/>
          <w:sz w:val="22"/>
          <w:szCs w:val="22"/>
        </w:rPr>
        <w:t>frequently updating a set of ‘</w:t>
      </w:r>
      <w:r w:rsidRPr="00EA23D6">
        <w:rPr>
          <w:rFonts w:ascii="Calibri" w:hAnsi="Calibri" w:cs="Calibri"/>
          <w:i/>
          <w:sz w:val="22"/>
          <w:szCs w:val="22"/>
        </w:rPr>
        <w:t xml:space="preserve">prioritised lot of MNE groups, having a significant impact on business and economic statistics at national and European level, that are subject </w:t>
      </w:r>
      <w:r w:rsidRPr="00D41D98">
        <w:rPr>
          <w:rFonts w:ascii="Calibri" w:hAnsi="Calibri" w:cs="Calibri"/>
          <w:i/>
          <w:sz w:val="22"/>
          <w:szCs w:val="22"/>
        </w:rPr>
        <w:t>to profiling</w:t>
      </w:r>
      <w:r w:rsidRPr="00EA23D6">
        <w:rPr>
          <w:rFonts w:ascii="Calibri" w:hAnsi="Calibri" w:cs="Calibri"/>
          <w:i/>
          <w:sz w:val="22"/>
          <w:szCs w:val="22"/>
        </w:rPr>
        <w:t xml:space="preserve"> in order to achieve the quality necessary to support the statistical production of economic globalisation </w:t>
      </w:r>
      <w:proofErr w:type="gramStart"/>
      <w:r w:rsidR="00FC36F2" w:rsidRPr="00EA23D6">
        <w:rPr>
          <w:rFonts w:ascii="Calibri" w:hAnsi="Calibri" w:cs="Calibri"/>
          <w:i/>
          <w:sz w:val="22"/>
          <w:szCs w:val="22"/>
        </w:rPr>
        <w:t>statistics</w:t>
      </w:r>
      <w:r w:rsidR="00FC36F2" w:rsidRPr="00EA23D6">
        <w:rPr>
          <w:rFonts w:ascii="Calibri" w:hAnsi="Calibri" w:cs="Calibri"/>
          <w:color w:val="000000"/>
          <w:sz w:val="22"/>
          <w:szCs w:val="22"/>
        </w:rPr>
        <w:t>’</w:t>
      </w:r>
      <w:proofErr w:type="gramEnd"/>
      <w:r w:rsidR="00FC36F2" w:rsidRPr="00EA23D6">
        <w:rPr>
          <w:rFonts w:ascii="Calibri" w:hAnsi="Calibri" w:cs="Calibri"/>
          <w:color w:val="000000"/>
          <w:sz w:val="22"/>
          <w:szCs w:val="22"/>
        </w:rPr>
        <w:t>.</w:t>
      </w:r>
      <w:r w:rsidRPr="00EA23D6">
        <w:rPr>
          <w:rFonts w:ascii="Calibri" w:hAnsi="Calibri" w:cs="Calibri"/>
          <w:sz w:val="22"/>
          <w:szCs w:val="22"/>
        </w:rPr>
        <w:t xml:space="preserve"> </w:t>
      </w:r>
    </w:p>
    <w:p w14:paraId="60C3FB51" w14:textId="77777777" w:rsidR="00396D41" w:rsidRPr="00EA23D6" w:rsidRDefault="00396D41" w:rsidP="00396D41">
      <w:pPr>
        <w:pStyle w:val="Listenabsatz"/>
        <w:numPr>
          <w:ilvl w:val="0"/>
          <w:numId w:val="3"/>
        </w:numPr>
        <w:tabs>
          <w:tab w:val="left" w:pos="426"/>
        </w:tabs>
        <w:autoSpaceDE w:val="0"/>
        <w:autoSpaceDN w:val="0"/>
        <w:adjustRightInd w:val="0"/>
        <w:spacing w:after="0"/>
        <w:rPr>
          <w:rFonts w:ascii="Calibri" w:hAnsi="Calibri" w:cs="Calibri"/>
          <w:color w:val="000000"/>
          <w:sz w:val="22"/>
          <w:szCs w:val="22"/>
        </w:rPr>
      </w:pPr>
      <w:r w:rsidRPr="00EA23D6">
        <w:rPr>
          <w:rFonts w:ascii="Calibri" w:hAnsi="Calibri" w:cs="Calibri"/>
          <w:color w:val="000000"/>
          <w:sz w:val="22"/>
          <w:szCs w:val="22"/>
        </w:rPr>
        <w:t>monitoring consistently the ‘</w:t>
      </w:r>
      <w:r w:rsidRPr="00EA23D6">
        <w:rPr>
          <w:rFonts w:ascii="Calibri" w:hAnsi="Calibri" w:cs="Calibri"/>
          <w:i/>
          <w:color w:val="000000"/>
          <w:sz w:val="22"/>
          <w:szCs w:val="22"/>
        </w:rPr>
        <w:t>fast</w:t>
      </w:r>
      <w:r w:rsidR="00AB5106" w:rsidRPr="00EA23D6">
        <w:rPr>
          <w:rFonts w:ascii="Calibri" w:hAnsi="Calibri" w:cs="Calibri"/>
          <w:i/>
          <w:color w:val="000000"/>
          <w:sz w:val="22"/>
          <w:szCs w:val="22"/>
        </w:rPr>
        <w:t>-</w:t>
      </w:r>
      <w:r w:rsidRPr="00EA23D6">
        <w:rPr>
          <w:rFonts w:ascii="Calibri" w:hAnsi="Calibri" w:cs="Calibri"/>
          <w:i/>
          <w:color w:val="000000"/>
          <w:sz w:val="22"/>
          <w:szCs w:val="22"/>
        </w:rPr>
        <w:t xml:space="preserve">changing patterns of activities of large, complex and dynamic multinational enterprise </w:t>
      </w:r>
      <w:proofErr w:type="gramStart"/>
      <w:r w:rsidR="00FC36F2" w:rsidRPr="00EA23D6">
        <w:rPr>
          <w:rFonts w:ascii="Calibri" w:hAnsi="Calibri" w:cs="Calibri"/>
          <w:i/>
          <w:color w:val="000000"/>
          <w:sz w:val="22"/>
          <w:szCs w:val="22"/>
        </w:rPr>
        <w:t>groups</w:t>
      </w:r>
      <w:r w:rsidR="00FC36F2" w:rsidRPr="00EA23D6">
        <w:rPr>
          <w:rFonts w:ascii="Calibri" w:hAnsi="Calibri" w:cs="Calibri"/>
          <w:color w:val="000000"/>
          <w:sz w:val="22"/>
          <w:szCs w:val="22"/>
        </w:rPr>
        <w:t>’</w:t>
      </w:r>
      <w:proofErr w:type="gramEnd"/>
      <w:r w:rsidR="00FC36F2" w:rsidRPr="00EA23D6">
        <w:rPr>
          <w:rFonts w:ascii="Calibri" w:hAnsi="Calibri" w:cs="Calibri"/>
          <w:color w:val="000000"/>
          <w:sz w:val="22"/>
          <w:szCs w:val="22"/>
        </w:rPr>
        <w:t>.</w:t>
      </w:r>
    </w:p>
    <w:p w14:paraId="598D4477" w14:textId="77777777" w:rsidR="00396D41" w:rsidRPr="00EA23D6" w:rsidRDefault="00396D41" w:rsidP="00396D41">
      <w:pPr>
        <w:pStyle w:val="Listenabsatz"/>
        <w:numPr>
          <w:ilvl w:val="0"/>
          <w:numId w:val="3"/>
        </w:numPr>
        <w:tabs>
          <w:tab w:val="left" w:pos="426"/>
        </w:tabs>
        <w:autoSpaceDE w:val="0"/>
        <w:autoSpaceDN w:val="0"/>
        <w:adjustRightInd w:val="0"/>
        <w:spacing w:after="0"/>
        <w:rPr>
          <w:rFonts w:ascii="Calibri" w:hAnsi="Calibri" w:cs="Calibri"/>
          <w:color w:val="000000"/>
          <w:sz w:val="22"/>
          <w:szCs w:val="22"/>
        </w:rPr>
      </w:pPr>
      <w:r w:rsidRPr="00EA23D6">
        <w:rPr>
          <w:rFonts w:ascii="Calibri" w:hAnsi="Calibri" w:cs="Calibri"/>
          <w:color w:val="000000"/>
          <w:sz w:val="22"/>
          <w:szCs w:val="22"/>
        </w:rPr>
        <w:t>becoming an ‘</w:t>
      </w:r>
      <w:r w:rsidRPr="00EA23D6">
        <w:rPr>
          <w:rFonts w:ascii="Calibri" w:hAnsi="Calibri" w:cs="Calibri"/>
          <w:i/>
          <w:color w:val="000000"/>
          <w:sz w:val="22"/>
          <w:szCs w:val="22"/>
        </w:rPr>
        <w:t xml:space="preserve">appropriate tool for high quality measurement of the impact of globalisation on statistical </w:t>
      </w:r>
      <w:proofErr w:type="gramStart"/>
      <w:r w:rsidR="00FC36F2" w:rsidRPr="00EA23D6">
        <w:rPr>
          <w:rFonts w:ascii="Calibri" w:hAnsi="Calibri" w:cs="Calibri"/>
          <w:i/>
          <w:color w:val="000000"/>
          <w:sz w:val="22"/>
          <w:szCs w:val="22"/>
        </w:rPr>
        <w:t>indicators</w:t>
      </w:r>
      <w:r w:rsidR="00FC36F2" w:rsidRPr="00EA23D6">
        <w:rPr>
          <w:rFonts w:ascii="Calibri" w:hAnsi="Calibri" w:cs="Calibri"/>
          <w:color w:val="000000"/>
          <w:sz w:val="22"/>
          <w:szCs w:val="22"/>
        </w:rPr>
        <w:t>’</w:t>
      </w:r>
      <w:proofErr w:type="gramEnd"/>
      <w:r w:rsidR="00FC36F2" w:rsidRPr="00EA23D6">
        <w:rPr>
          <w:rFonts w:ascii="Calibri" w:hAnsi="Calibri" w:cs="Calibri"/>
          <w:color w:val="000000"/>
          <w:sz w:val="22"/>
          <w:szCs w:val="22"/>
        </w:rPr>
        <w:t>.</w:t>
      </w:r>
      <w:r w:rsidRPr="00EA23D6">
        <w:rPr>
          <w:rFonts w:ascii="Calibri" w:hAnsi="Calibri" w:cs="Calibri"/>
          <w:color w:val="000000"/>
          <w:sz w:val="22"/>
          <w:szCs w:val="22"/>
        </w:rPr>
        <w:t xml:space="preserve"> </w:t>
      </w:r>
    </w:p>
    <w:p w14:paraId="1B88749B" w14:textId="77777777" w:rsidR="00396D41" w:rsidRPr="00EA23D6" w:rsidRDefault="00396D41" w:rsidP="00396D41">
      <w:pPr>
        <w:pStyle w:val="Listenabsatz"/>
        <w:numPr>
          <w:ilvl w:val="0"/>
          <w:numId w:val="3"/>
        </w:numPr>
        <w:tabs>
          <w:tab w:val="left" w:pos="426"/>
        </w:tabs>
        <w:autoSpaceDE w:val="0"/>
        <w:autoSpaceDN w:val="0"/>
        <w:adjustRightInd w:val="0"/>
        <w:spacing w:after="0"/>
        <w:rPr>
          <w:rFonts w:ascii="Calibri" w:hAnsi="Calibri" w:cs="Calibri"/>
          <w:color w:val="000000"/>
          <w:sz w:val="22"/>
          <w:szCs w:val="22"/>
        </w:rPr>
      </w:pPr>
      <w:r w:rsidRPr="00EA23D6">
        <w:rPr>
          <w:rFonts w:ascii="Calibri" w:hAnsi="Calibri" w:cs="Calibri"/>
          <w:color w:val="000000"/>
          <w:sz w:val="22"/>
          <w:szCs w:val="22"/>
        </w:rPr>
        <w:t xml:space="preserve">providing the MNE </w:t>
      </w:r>
      <w:r w:rsidR="00B70376">
        <w:rPr>
          <w:rFonts w:ascii="Calibri" w:hAnsi="Calibri" w:cs="Calibri"/>
          <w:color w:val="000000"/>
          <w:sz w:val="22"/>
          <w:szCs w:val="22"/>
        </w:rPr>
        <w:t xml:space="preserve">groups </w:t>
      </w:r>
      <w:r w:rsidRPr="00EA23D6">
        <w:rPr>
          <w:rFonts w:ascii="Calibri" w:hAnsi="Calibri" w:cs="Calibri"/>
          <w:color w:val="000000"/>
          <w:sz w:val="22"/>
          <w:szCs w:val="22"/>
        </w:rPr>
        <w:t>information for addressing ‘</w:t>
      </w:r>
      <w:r w:rsidRPr="00EA23D6">
        <w:rPr>
          <w:rFonts w:ascii="Calibri" w:hAnsi="Calibri" w:cs="Calibri"/>
          <w:i/>
          <w:color w:val="000000"/>
          <w:sz w:val="22"/>
          <w:szCs w:val="22"/>
        </w:rPr>
        <w:t>asymmetries and micro data sharing necessary to improve data consistency at national and European level</w:t>
      </w:r>
      <w:r w:rsidRPr="00EA23D6">
        <w:rPr>
          <w:rFonts w:ascii="Calibri" w:hAnsi="Calibri" w:cs="Calibri"/>
          <w:color w:val="000000"/>
          <w:sz w:val="22"/>
          <w:szCs w:val="22"/>
        </w:rPr>
        <w:t xml:space="preserve">’. </w:t>
      </w:r>
    </w:p>
    <w:p w14:paraId="5CEE1CF2" w14:textId="5A9762D7" w:rsidR="00396D41" w:rsidRDefault="00396D41" w:rsidP="00DD070A">
      <w:pPr>
        <w:rPr>
          <w:rStyle w:val="Fett"/>
          <w:lang w:val="en-GB"/>
        </w:rPr>
      </w:pPr>
    </w:p>
    <w:p w14:paraId="35D96A6C" w14:textId="09009C14" w:rsidR="00FC2E19" w:rsidRPr="00FC0647" w:rsidRDefault="00D41D98" w:rsidP="000D0853">
      <w:pPr>
        <w:pStyle w:val="Default"/>
        <w:jc w:val="both"/>
        <w:rPr>
          <w:rFonts w:ascii="Calibri" w:hAnsi="Calibri" w:cs="Calibri"/>
          <w:color w:val="auto"/>
          <w:sz w:val="22"/>
          <w:szCs w:val="22"/>
          <w:lang w:val="en-GB"/>
        </w:rPr>
      </w:pPr>
      <w:r>
        <w:rPr>
          <w:rFonts w:ascii="Calibri" w:hAnsi="Calibri" w:cs="Calibri"/>
          <w:color w:val="auto"/>
          <w:sz w:val="22"/>
          <w:szCs w:val="22"/>
          <w:lang w:val="en-GB"/>
        </w:rPr>
        <w:t xml:space="preserve">To ensure high quality data in EGR, Eurostat has launched in 2021 the European Profiling programme. </w:t>
      </w:r>
      <w:r w:rsidR="00FB6950" w:rsidRPr="00FC0647">
        <w:rPr>
          <w:rFonts w:ascii="Calibri" w:hAnsi="Calibri" w:cs="Calibri"/>
          <w:color w:val="auto"/>
          <w:sz w:val="22"/>
          <w:szCs w:val="22"/>
          <w:lang w:val="en-GB"/>
        </w:rPr>
        <w:t xml:space="preserve">The purpose of </w:t>
      </w:r>
      <w:r>
        <w:rPr>
          <w:rFonts w:ascii="Calibri" w:hAnsi="Calibri" w:cs="Calibri"/>
          <w:color w:val="auto"/>
          <w:sz w:val="22"/>
          <w:szCs w:val="22"/>
          <w:lang w:val="en-GB"/>
        </w:rPr>
        <w:t xml:space="preserve">European </w:t>
      </w:r>
      <w:r w:rsidR="00FB6950" w:rsidRPr="00D41D98">
        <w:rPr>
          <w:rFonts w:ascii="Calibri" w:hAnsi="Calibri" w:cs="Calibri"/>
          <w:color w:val="auto"/>
          <w:sz w:val="22"/>
          <w:szCs w:val="22"/>
          <w:lang w:val="en-GB"/>
        </w:rPr>
        <w:t>Profiling</w:t>
      </w:r>
      <w:r w:rsidR="00FB6950" w:rsidRPr="00FC0647">
        <w:rPr>
          <w:rFonts w:ascii="Calibri" w:hAnsi="Calibri" w:cs="Calibri"/>
          <w:color w:val="auto"/>
          <w:sz w:val="22"/>
          <w:szCs w:val="22"/>
          <w:lang w:val="en-GB"/>
        </w:rPr>
        <w:t xml:space="preserve"> is to analyse the legal, </w:t>
      </w:r>
      <w:r w:rsidR="001A2FE6" w:rsidRPr="00FC0647">
        <w:rPr>
          <w:rFonts w:ascii="Calibri" w:hAnsi="Calibri" w:cs="Calibri"/>
          <w:color w:val="auto"/>
          <w:sz w:val="22"/>
          <w:szCs w:val="22"/>
          <w:lang w:val="en-GB"/>
        </w:rPr>
        <w:t>economic,</w:t>
      </w:r>
      <w:r w:rsidR="00FB6950" w:rsidRPr="00FC0647">
        <w:rPr>
          <w:rFonts w:ascii="Calibri" w:hAnsi="Calibri" w:cs="Calibri"/>
          <w:color w:val="auto"/>
          <w:sz w:val="22"/>
          <w:szCs w:val="22"/>
          <w:lang w:val="en-GB"/>
        </w:rPr>
        <w:t xml:space="preserve"> and operational structure of an enterprise group </w:t>
      </w:r>
      <w:r w:rsidR="00317CF9" w:rsidRPr="00FC0647">
        <w:rPr>
          <w:rFonts w:ascii="Calibri" w:hAnsi="Calibri" w:cs="Calibri"/>
          <w:color w:val="auto"/>
          <w:sz w:val="22"/>
          <w:szCs w:val="22"/>
          <w:lang w:val="en-GB"/>
        </w:rPr>
        <w:t>to</w:t>
      </w:r>
      <w:r w:rsidR="00FB6950" w:rsidRPr="00FC0647">
        <w:rPr>
          <w:rFonts w:ascii="Calibri" w:hAnsi="Calibri" w:cs="Calibri"/>
          <w:color w:val="auto"/>
          <w:sz w:val="22"/>
          <w:szCs w:val="22"/>
          <w:lang w:val="en-GB"/>
        </w:rPr>
        <w:t xml:space="preserve"> get the best delineation of the statistical unit 'enterprise'</w:t>
      </w:r>
      <w:r w:rsidR="00B65A3E">
        <w:rPr>
          <w:rFonts w:ascii="Calibri" w:hAnsi="Calibri" w:cs="Calibri"/>
          <w:color w:val="auto"/>
          <w:sz w:val="22"/>
          <w:szCs w:val="22"/>
          <w:lang w:val="en-GB"/>
        </w:rPr>
        <w:t>.</w:t>
      </w:r>
      <w:r w:rsidR="00FB6950" w:rsidRPr="00FC0647">
        <w:rPr>
          <w:rFonts w:ascii="Calibri" w:hAnsi="Calibri" w:cs="Calibri"/>
          <w:color w:val="auto"/>
          <w:sz w:val="22"/>
          <w:szCs w:val="22"/>
          <w:lang w:val="en-GB"/>
        </w:rPr>
        <w:t xml:space="preserve"> </w:t>
      </w:r>
      <w:r>
        <w:rPr>
          <w:rFonts w:ascii="Calibri" w:hAnsi="Calibri" w:cs="Calibri"/>
          <w:color w:val="auto"/>
          <w:sz w:val="22"/>
          <w:szCs w:val="22"/>
          <w:lang w:val="en-GB"/>
        </w:rPr>
        <w:t xml:space="preserve">European profiling is a </w:t>
      </w:r>
      <w:r>
        <w:rPr>
          <w:rFonts w:ascii="Calibri" w:hAnsi="Calibri" w:cs="Calibri"/>
          <w:color w:val="auto"/>
          <w:sz w:val="22"/>
          <w:szCs w:val="22"/>
          <w:lang w:val="en-GB"/>
        </w:rPr>
        <w:lastRenderedPageBreak/>
        <w:t xml:space="preserve">collaborative activity where </w:t>
      </w:r>
      <w:r w:rsidR="00FB6950" w:rsidRPr="00FC0647">
        <w:rPr>
          <w:rFonts w:ascii="Calibri" w:hAnsi="Calibri" w:cs="Calibri"/>
          <w:color w:val="auto"/>
          <w:sz w:val="22"/>
          <w:szCs w:val="22"/>
          <w:lang w:val="en-GB"/>
        </w:rPr>
        <w:t xml:space="preserve">the NSIs </w:t>
      </w:r>
      <w:r>
        <w:rPr>
          <w:rFonts w:ascii="Calibri" w:hAnsi="Calibri" w:cs="Calibri"/>
          <w:color w:val="auto"/>
          <w:sz w:val="22"/>
          <w:szCs w:val="22"/>
          <w:lang w:val="en-GB"/>
        </w:rPr>
        <w:t xml:space="preserve">having an interest to profile the same MNE group </w:t>
      </w:r>
      <w:r w:rsidR="00FB6950" w:rsidRPr="00FC0647">
        <w:rPr>
          <w:rFonts w:ascii="Calibri" w:hAnsi="Calibri" w:cs="Calibri"/>
          <w:color w:val="auto"/>
          <w:sz w:val="22"/>
          <w:szCs w:val="22"/>
          <w:lang w:val="en-GB"/>
        </w:rPr>
        <w:t xml:space="preserve">define and agree together on the legal, </w:t>
      </w:r>
      <w:r w:rsidR="001A2FE6" w:rsidRPr="00FC0647">
        <w:rPr>
          <w:rFonts w:ascii="Calibri" w:hAnsi="Calibri" w:cs="Calibri"/>
          <w:color w:val="auto"/>
          <w:sz w:val="22"/>
          <w:szCs w:val="22"/>
          <w:lang w:val="en-GB"/>
        </w:rPr>
        <w:t>financial,</w:t>
      </w:r>
      <w:r w:rsidR="00FB6950" w:rsidRPr="00FC0647">
        <w:rPr>
          <w:rFonts w:ascii="Calibri" w:hAnsi="Calibri" w:cs="Calibri"/>
          <w:color w:val="auto"/>
          <w:sz w:val="22"/>
          <w:szCs w:val="22"/>
          <w:lang w:val="en-GB"/>
        </w:rPr>
        <w:t xml:space="preserve"> and economic structure of </w:t>
      </w:r>
      <w:r>
        <w:rPr>
          <w:rFonts w:ascii="Calibri" w:hAnsi="Calibri" w:cs="Calibri"/>
          <w:color w:val="auto"/>
          <w:sz w:val="22"/>
          <w:szCs w:val="22"/>
          <w:lang w:val="en-GB"/>
        </w:rPr>
        <w:t>it</w:t>
      </w:r>
      <w:r w:rsidR="00FB6950" w:rsidRPr="00FC0647">
        <w:rPr>
          <w:rFonts w:ascii="Calibri" w:hAnsi="Calibri" w:cs="Calibri"/>
          <w:color w:val="auto"/>
          <w:sz w:val="22"/>
          <w:szCs w:val="22"/>
          <w:lang w:val="en-GB"/>
        </w:rPr>
        <w:t xml:space="preserve"> and delineate its </w:t>
      </w:r>
      <w:r>
        <w:rPr>
          <w:rFonts w:ascii="Calibri" w:hAnsi="Calibri" w:cs="Calibri"/>
          <w:color w:val="auto"/>
          <w:sz w:val="22"/>
          <w:szCs w:val="22"/>
          <w:lang w:val="en-GB"/>
        </w:rPr>
        <w:t xml:space="preserve">statistical unit(s) </w:t>
      </w:r>
      <w:r w:rsidR="00FB6950" w:rsidRPr="00FC0647">
        <w:rPr>
          <w:rFonts w:ascii="Calibri" w:hAnsi="Calibri" w:cs="Calibri"/>
          <w:color w:val="auto"/>
          <w:sz w:val="22"/>
          <w:szCs w:val="22"/>
          <w:lang w:val="en-GB"/>
        </w:rPr>
        <w:t xml:space="preserve">enterprise(s). This common understanding of the </w:t>
      </w:r>
      <w:r>
        <w:rPr>
          <w:rFonts w:ascii="Calibri" w:hAnsi="Calibri" w:cs="Calibri"/>
          <w:color w:val="auto"/>
          <w:sz w:val="22"/>
          <w:szCs w:val="22"/>
          <w:lang w:val="en-GB"/>
        </w:rPr>
        <w:t xml:space="preserve">MNE </w:t>
      </w:r>
      <w:r w:rsidR="00FB6950" w:rsidRPr="00FC0647">
        <w:rPr>
          <w:rFonts w:ascii="Calibri" w:hAnsi="Calibri" w:cs="Calibri"/>
          <w:color w:val="auto"/>
          <w:sz w:val="22"/>
          <w:szCs w:val="22"/>
          <w:lang w:val="en-GB"/>
        </w:rPr>
        <w:t xml:space="preserve">groups' structure and their activities can ultimately support </w:t>
      </w:r>
      <w:r>
        <w:rPr>
          <w:rFonts w:ascii="Calibri" w:hAnsi="Calibri" w:cs="Calibri"/>
          <w:color w:val="auto"/>
          <w:sz w:val="22"/>
          <w:szCs w:val="22"/>
          <w:lang w:val="en-GB"/>
        </w:rPr>
        <w:t xml:space="preserve">a consistent </w:t>
      </w:r>
      <w:r w:rsidR="00FB6950" w:rsidRPr="00FC0647">
        <w:rPr>
          <w:rFonts w:ascii="Calibri" w:hAnsi="Calibri" w:cs="Calibri"/>
          <w:color w:val="auto"/>
          <w:sz w:val="22"/>
          <w:szCs w:val="22"/>
          <w:lang w:val="en-GB"/>
        </w:rPr>
        <w:t>data collection and data compilation</w:t>
      </w:r>
      <w:r w:rsidR="00B65A3E">
        <w:rPr>
          <w:rFonts w:ascii="Calibri" w:hAnsi="Calibri" w:cs="Calibri"/>
          <w:color w:val="auto"/>
          <w:sz w:val="22"/>
          <w:szCs w:val="22"/>
          <w:lang w:val="en-GB"/>
        </w:rPr>
        <w:t xml:space="preserve"> </w:t>
      </w:r>
      <w:r w:rsidR="001C7D48">
        <w:rPr>
          <w:rFonts w:ascii="Calibri" w:hAnsi="Calibri" w:cs="Calibri"/>
          <w:color w:val="auto"/>
          <w:sz w:val="22"/>
          <w:szCs w:val="22"/>
          <w:lang w:val="en-GB"/>
        </w:rPr>
        <w:t xml:space="preserve">of </w:t>
      </w:r>
      <w:r w:rsidR="001C7D48" w:rsidRPr="00B65A3E">
        <w:rPr>
          <w:rFonts w:ascii="Calibri" w:hAnsi="Calibri" w:cs="Calibri"/>
          <w:color w:val="auto"/>
          <w:sz w:val="22"/>
          <w:szCs w:val="22"/>
          <w:lang w:val="en-GB"/>
        </w:rPr>
        <w:t>globalisation</w:t>
      </w:r>
      <w:r>
        <w:rPr>
          <w:rFonts w:ascii="Calibri" w:hAnsi="Calibri" w:cs="Calibri"/>
          <w:color w:val="auto"/>
          <w:sz w:val="22"/>
          <w:szCs w:val="22"/>
          <w:lang w:val="en-GB"/>
        </w:rPr>
        <w:t xml:space="preserve"> </w:t>
      </w:r>
      <w:r w:rsidR="00B65A3E" w:rsidRPr="00B65A3E">
        <w:rPr>
          <w:rFonts w:ascii="Calibri" w:hAnsi="Calibri" w:cs="Calibri"/>
          <w:color w:val="auto"/>
          <w:sz w:val="22"/>
          <w:szCs w:val="22"/>
          <w:lang w:val="en-GB"/>
        </w:rPr>
        <w:t>statistics.</w:t>
      </w:r>
      <w:r w:rsidR="00FC0647" w:rsidRPr="00FC0647">
        <w:rPr>
          <w:rFonts w:ascii="Calibri" w:hAnsi="Calibri" w:cs="Calibri"/>
          <w:color w:val="auto"/>
          <w:sz w:val="22"/>
          <w:szCs w:val="22"/>
          <w:lang w:val="en-GB"/>
        </w:rPr>
        <w:t xml:space="preserve"> </w:t>
      </w:r>
    </w:p>
    <w:p w14:paraId="70D48A65" w14:textId="77777777" w:rsidR="000D0853" w:rsidRPr="00EA23D6" w:rsidRDefault="000D0853" w:rsidP="000D0853">
      <w:pPr>
        <w:pStyle w:val="Default"/>
        <w:jc w:val="both"/>
        <w:rPr>
          <w:rFonts w:ascii="Calibri" w:hAnsi="Calibri" w:cs="Calibri"/>
          <w:sz w:val="22"/>
          <w:szCs w:val="22"/>
          <w:lang w:val="en-GB"/>
        </w:rPr>
      </w:pPr>
    </w:p>
    <w:p w14:paraId="24CE4ABD" w14:textId="150F1A98" w:rsidR="000D0853" w:rsidRPr="00EA23D6" w:rsidRDefault="000D0853" w:rsidP="000D0853">
      <w:pPr>
        <w:pStyle w:val="Text1"/>
        <w:ind w:left="0"/>
        <w:rPr>
          <w:rFonts w:ascii="Calibri" w:hAnsi="Calibri" w:cs="Calibri"/>
          <w:bCs/>
          <w:sz w:val="22"/>
          <w:szCs w:val="22"/>
        </w:rPr>
      </w:pPr>
      <w:r w:rsidRPr="00EA23D6">
        <w:rPr>
          <w:rFonts w:ascii="Calibri" w:hAnsi="Calibri" w:cs="Calibri"/>
          <w:bCs/>
          <w:sz w:val="22"/>
          <w:szCs w:val="22"/>
        </w:rPr>
        <w:t>T</w:t>
      </w:r>
      <w:r w:rsidR="00D41D98">
        <w:rPr>
          <w:rFonts w:ascii="Calibri" w:hAnsi="Calibri" w:cs="Calibri"/>
          <w:bCs/>
          <w:sz w:val="22"/>
          <w:szCs w:val="22"/>
        </w:rPr>
        <w:t>o implement the DGINS Bratislava conclusions, t</w:t>
      </w:r>
      <w:r w:rsidRPr="00EA23D6">
        <w:rPr>
          <w:rFonts w:ascii="Calibri" w:hAnsi="Calibri" w:cs="Calibri"/>
          <w:bCs/>
          <w:sz w:val="22"/>
          <w:szCs w:val="22"/>
        </w:rPr>
        <w:t xml:space="preserve">he </w:t>
      </w:r>
      <w:r w:rsidR="00D41D98">
        <w:rPr>
          <w:rFonts w:ascii="Calibri" w:hAnsi="Calibri" w:cs="Calibri"/>
          <w:bCs/>
          <w:sz w:val="22"/>
          <w:szCs w:val="22"/>
        </w:rPr>
        <w:t xml:space="preserve">ESS </w:t>
      </w:r>
      <w:r w:rsidRPr="00EA23D6">
        <w:rPr>
          <w:rFonts w:ascii="Calibri" w:hAnsi="Calibri" w:cs="Calibri"/>
          <w:color w:val="171A22"/>
          <w:sz w:val="22"/>
          <w:szCs w:val="22"/>
          <w:shd w:val="clear" w:color="auto" w:fill="FFFFFF"/>
        </w:rPr>
        <w:t xml:space="preserve">Business Statistics Directors’ Group supported the </w:t>
      </w:r>
      <w:r w:rsidR="00D41D98">
        <w:rPr>
          <w:rFonts w:ascii="Calibri" w:hAnsi="Calibri" w:cs="Calibri"/>
          <w:color w:val="171A22"/>
          <w:sz w:val="22"/>
          <w:szCs w:val="22"/>
          <w:shd w:val="clear" w:color="auto" w:fill="FFFFFF"/>
        </w:rPr>
        <w:t xml:space="preserve">implementation of a </w:t>
      </w:r>
      <w:r w:rsidRPr="00EA23D6">
        <w:rPr>
          <w:rFonts w:ascii="Calibri" w:hAnsi="Calibri" w:cs="Calibri"/>
          <w:bCs/>
          <w:sz w:val="22"/>
          <w:szCs w:val="22"/>
        </w:rPr>
        <w:t xml:space="preserve">two-tier approach in the EGR which envisages: </w:t>
      </w:r>
    </w:p>
    <w:p w14:paraId="19160CDA" w14:textId="3B8ED24C" w:rsidR="000D0853" w:rsidRPr="00EA23D6" w:rsidRDefault="000D0853" w:rsidP="005B148E">
      <w:pPr>
        <w:pStyle w:val="Text1"/>
        <w:numPr>
          <w:ilvl w:val="0"/>
          <w:numId w:val="30"/>
        </w:numPr>
        <w:spacing w:before="120" w:after="120"/>
        <w:ind w:hanging="482"/>
        <w:rPr>
          <w:rFonts w:ascii="Calibri" w:hAnsi="Calibri" w:cs="Calibri"/>
          <w:bCs/>
          <w:sz w:val="22"/>
          <w:szCs w:val="22"/>
        </w:rPr>
      </w:pPr>
      <w:r w:rsidRPr="00EA23D6">
        <w:rPr>
          <w:rFonts w:ascii="Calibri" w:hAnsi="Calibri" w:cs="Calibri"/>
          <w:sz w:val="22"/>
          <w:szCs w:val="22"/>
        </w:rPr>
        <w:t xml:space="preserve">The first tier </w:t>
      </w:r>
      <w:r w:rsidR="00915822">
        <w:rPr>
          <w:rFonts w:ascii="Calibri" w:hAnsi="Calibri" w:cs="Calibri"/>
          <w:sz w:val="22"/>
          <w:szCs w:val="22"/>
        </w:rPr>
        <w:t xml:space="preserve">(the </w:t>
      </w:r>
      <w:r w:rsidR="001C7D48">
        <w:rPr>
          <w:i/>
        </w:rPr>
        <w:t>Top-tier</w:t>
      </w:r>
      <w:r w:rsidR="00915822">
        <w:rPr>
          <w:rFonts w:ascii="Calibri" w:hAnsi="Calibri" w:cs="Calibri"/>
          <w:sz w:val="22"/>
          <w:szCs w:val="22"/>
        </w:rPr>
        <w:t xml:space="preserve">) </w:t>
      </w:r>
      <w:r w:rsidRPr="00EA23D6">
        <w:rPr>
          <w:rFonts w:ascii="Calibri" w:hAnsi="Calibri" w:cs="Calibri"/>
          <w:sz w:val="22"/>
          <w:szCs w:val="22"/>
        </w:rPr>
        <w:t xml:space="preserve">consists of a </w:t>
      </w:r>
      <w:r w:rsidRPr="00EA23D6">
        <w:rPr>
          <w:rFonts w:ascii="Calibri" w:hAnsi="Calibri" w:cs="Calibri"/>
          <w:i/>
          <w:iCs/>
          <w:sz w:val="22"/>
          <w:szCs w:val="22"/>
        </w:rPr>
        <w:t xml:space="preserve">coordinated </w:t>
      </w:r>
      <w:r w:rsidRPr="00EA23D6">
        <w:rPr>
          <w:rFonts w:ascii="Calibri" w:hAnsi="Calibri" w:cs="Calibri"/>
          <w:sz w:val="22"/>
          <w:szCs w:val="22"/>
        </w:rPr>
        <w:t xml:space="preserve">cross-country thorough treatment of the largest and most complex MNE groups, i.e., those with a significant impact on macroeconomic and business statistics. This tier needs </w:t>
      </w:r>
      <w:r w:rsidRPr="00EA23D6">
        <w:rPr>
          <w:rFonts w:ascii="Calibri" w:hAnsi="Calibri" w:cs="Calibri"/>
          <w:i/>
          <w:iCs/>
          <w:sz w:val="22"/>
          <w:szCs w:val="22"/>
        </w:rPr>
        <w:t xml:space="preserve">current </w:t>
      </w:r>
      <w:r w:rsidRPr="00EA23D6">
        <w:rPr>
          <w:rFonts w:ascii="Calibri" w:hAnsi="Calibri" w:cs="Calibri"/>
          <w:sz w:val="22"/>
          <w:szCs w:val="22"/>
        </w:rPr>
        <w:t>updating based on the MNE groups profiling work</w:t>
      </w:r>
      <w:r w:rsidR="00AC3B7B">
        <w:rPr>
          <w:rFonts w:ascii="Calibri" w:hAnsi="Calibri" w:cs="Calibri"/>
          <w:sz w:val="22"/>
          <w:szCs w:val="22"/>
        </w:rPr>
        <w:t xml:space="preserve"> and the results should be integrated in the EGR</w:t>
      </w:r>
      <w:r w:rsidRPr="00EA23D6">
        <w:rPr>
          <w:rFonts w:ascii="Calibri" w:hAnsi="Calibri" w:cs="Calibri"/>
          <w:sz w:val="22"/>
          <w:szCs w:val="22"/>
        </w:rPr>
        <w:t>. The Top</w:t>
      </w:r>
      <w:r w:rsidR="00D54399" w:rsidRPr="00EA23D6">
        <w:rPr>
          <w:rFonts w:ascii="Calibri" w:hAnsi="Calibri" w:cs="Calibri"/>
          <w:sz w:val="22"/>
          <w:szCs w:val="22"/>
        </w:rPr>
        <w:t>-tier</w:t>
      </w:r>
      <w:r w:rsidRPr="00EA23D6">
        <w:rPr>
          <w:rFonts w:ascii="Calibri" w:hAnsi="Calibri" w:cs="Calibri"/>
          <w:sz w:val="22"/>
          <w:szCs w:val="22"/>
        </w:rPr>
        <w:t xml:space="preserve"> groups should be regularly </w:t>
      </w:r>
      <w:r w:rsidR="00AC3B7B">
        <w:rPr>
          <w:rFonts w:ascii="Calibri" w:hAnsi="Calibri" w:cs="Calibri"/>
          <w:sz w:val="22"/>
          <w:szCs w:val="22"/>
        </w:rPr>
        <w:t>checked</w:t>
      </w:r>
      <w:r w:rsidR="00AC3B7B" w:rsidRPr="00EA23D6">
        <w:rPr>
          <w:rFonts w:ascii="Calibri" w:hAnsi="Calibri" w:cs="Calibri"/>
          <w:sz w:val="22"/>
          <w:szCs w:val="22"/>
        </w:rPr>
        <w:t xml:space="preserve"> </w:t>
      </w:r>
      <w:r w:rsidRPr="00EA23D6">
        <w:rPr>
          <w:rFonts w:ascii="Calibri" w:hAnsi="Calibri" w:cs="Calibri"/>
          <w:sz w:val="22"/>
          <w:szCs w:val="22"/>
        </w:rPr>
        <w:t>and followed</w:t>
      </w:r>
      <w:r w:rsidR="00AC3B7B">
        <w:rPr>
          <w:rFonts w:ascii="Calibri" w:hAnsi="Calibri" w:cs="Calibri"/>
          <w:sz w:val="22"/>
          <w:szCs w:val="22"/>
        </w:rPr>
        <w:t xml:space="preserve"> up</w:t>
      </w:r>
      <w:r w:rsidRPr="00EA23D6">
        <w:rPr>
          <w:rFonts w:ascii="Calibri" w:hAnsi="Calibri" w:cs="Calibri"/>
          <w:sz w:val="22"/>
          <w:szCs w:val="22"/>
        </w:rPr>
        <w:t xml:space="preserve"> </w:t>
      </w:r>
      <w:r w:rsidR="00AC3B7B">
        <w:rPr>
          <w:rFonts w:ascii="Calibri" w:hAnsi="Calibri" w:cs="Calibri"/>
          <w:sz w:val="22"/>
          <w:szCs w:val="22"/>
        </w:rPr>
        <w:t xml:space="preserve">allowing </w:t>
      </w:r>
      <w:r w:rsidR="001919E2">
        <w:rPr>
          <w:rFonts w:ascii="Calibri" w:hAnsi="Calibri" w:cs="Calibri"/>
          <w:bCs/>
          <w:sz w:val="22"/>
          <w:szCs w:val="22"/>
        </w:rPr>
        <w:t xml:space="preserve">higher and assured </w:t>
      </w:r>
      <w:r w:rsidR="00AB1F43">
        <w:rPr>
          <w:rFonts w:ascii="Calibri" w:hAnsi="Calibri" w:cs="Calibri"/>
          <w:bCs/>
          <w:sz w:val="22"/>
          <w:szCs w:val="22"/>
        </w:rPr>
        <w:t>quality</w:t>
      </w:r>
      <w:r w:rsidR="00AC3B7B">
        <w:rPr>
          <w:rFonts w:ascii="Calibri" w:hAnsi="Calibri" w:cs="Calibri"/>
          <w:bCs/>
          <w:sz w:val="22"/>
          <w:szCs w:val="22"/>
        </w:rPr>
        <w:t xml:space="preserve"> and the</w:t>
      </w:r>
      <w:r w:rsidRPr="00EA23D6">
        <w:rPr>
          <w:rFonts w:ascii="Calibri" w:hAnsi="Calibri" w:cs="Calibri"/>
          <w:bCs/>
          <w:sz w:val="22"/>
          <w:szCs w:val="22"/>
        </w:rPr>
        <w:t xml:space="preserve"> creation of the </w:t>
      </w:r>
      <w:r w:rsidR="00D54399" w:rsidRPr="00EA23D6">
        <w:rPr>
          <w:rFonts w:ascii="Calibri" w:hAnsi="Calibri" w:cs="Calibri"/>
          <w:bCs/>
          <w:sz w:val="22"/>
          <w:szCs w:val="22"/>
        </w:rPr>
        <w:t>timelier</w:t>
      </w:r>
      <w:r w:rsidRPr="00EA23D6">
        <w:rPr>
          <w:rFonts w:ascii="Calibri" w:hAnsi="Calibri" w:cs="Calibri"/>
          <w:bCs/>
          <w:sz w:val="22"/>
          <w:szCs w:val="22"/>
        </w:rPr>
        <w:t xml:space="preserve"> frames </w:t>
      </w:r>
      <w:r w:rsidR="00834D89" w:rsidRPr="00EA23D6">
        <w:rPr>
          <w:rFonts w:ascii="Calibri" w:hAnsi="Calibri" w:cs="Calibri"/>
          <w:bCs/>
          <w:sz w:val="22"/>
          <w:szCs w:val="22"/>
        </w:rPr>
        <w:t>consisting of</w:t>
      </w:r>
      <w:r w:rsidRPr="00EA23D6">
        <w:rPr>
          <w:rFonts w:ascii="Calibri" w:hAnsi="Calibri" w:cs="Calibri"/>
          <w:bCs/>
          <w:sz w:val="22"/>
          <w:szCs w:val="22"/>
        </w:rPr>
        <w:t xml:space="preserve"> </w:t>
      </w:r>
      <w:r w:rsidR="00AC3B7B">
        <w:rPr>
          <w:rFonts w:ascii="Calibri" w:hAnsi="Calibri" w:cs="Calibri"/>
          <w:bCs/>
          <w:sz w:val="22"/>
          <w:szCs w:val="22"/>
        </w:rPr>
        <w:t>the updated data</w:t>
      </w:r>
      <w:r w:rsidR="00AC3B7B" w:rsidRPr="00EA23D6">
        <w:rPr>
          <w:rFonts w:ascii="Calibri" w:hAnsi="Calibri" w:cs="Calibri"/>
          <w:bCs/>
          <w:sz w:val="22"/>
          <w:szCs w:val="22"/>
        </w:rPr>
        <w:t xml:space="preserve"> </w:t>
      </w:r>
      <w:r w:rsidRPr="00EA23D6">
        <w:rPr>
          <w:rFonts w:ascii="Calibri" w:hAnsi="Calibri" w:cs="Calibri"/>
          <w:bCs/>
          <w:sz w:val="22"/>
          <w:szCs w:val="22"/>
        </w:rPr>
        <w:t xml:space="preserve">of the largest MNE groups. That will allow macroeconomics and business statistics better and quicker capture the </w:t>
      </w:r>
      <w:r w:rsidR="00D54399" w:rsidRPr="00EA23D6">
        <w:rPr>
          <w:rFonts w:ascii="Calibri" w:hAnsi="Calibri" w:cs="Calibri"/>
          <w:bCs/>
          <w:sz w:val="22"/>
          <w:szCs w:val="22"/>
        </w:rPr>
        <w:t>change</w:t>
      </w:r>
      <w:r w:rsidRPr="00EA23D6">
        <w:rPr>
          <w:rFonts w:ascii="Calibri" w:hAnsi="Calibri" w:cs="Calibri"/>
          <w:bCs/>
          <w:sz w:val="22"/>
          <w:szCs w:val="22"/>
        </w:rPr>
        <w:t xml:space="preserve"> of globalisation affects.</w:t>
      </w:r>
    </w:p>
    <w:p w14:paraId="7DF7D903" w14:textId="4E7F2AA4" w:rsidR="000D0853" w:rsidRPr="00EA23D6" w:rsidRDefault="000D0853" w:rsidP="005B148E">
      <w:pPr>
        <w:pStyle w:val="Listenabsatz"/>
        <w:numPr>
          <w:ilvl w:val="0"/>
          <w:numId w:val="30"/>
        </w:numPr>
        <w:autoSpaceDE w:val="0"/>
        <w:autoSpaceDN w:val="0"/>
        <w:spacing w:before="0" w:after="0"/>
        <w:ind w:left="482" w:hanging="482"/>
        <w:contextualSpacing w:val="0"/>
        <w:rPr>
          <w:rFonts w:ascii="Calibri" w:hAnsi="Calibri" w:cs="Calibri"/>
          <w:sz w:val="22"/>
          <w:szCs w:val="22"/>
          <w:lang w:eastAsia="en-GB"/>
        </w:rPr>
      </w:pPr>
      <w:r w:rsidRPr="00EA23D6">
        <w:rPr>
          <w:rFonts w:ascii="Calibri" w:hAnsi="Calibri" w:cs="Calibri"/>
          <w:bCs/>
          <w:sz w:val="22"/>
          <w:szCs w:val="22"/>
        </w:rPr>
        <w:t xml:space="preserve">The second tier </w:t>
      </w:r>
      <w:r w:rsidR="00D54399" w:rsidRPr="00EA23D6">
        <w:rPr>
          <w:rFonts w:ascii="Calibri" w:hAnsi="Calibri" w:cs="Calibri"/>
          <w:bCs/>
          <w:sz w:val="22"/>
          <w:szCs w:val="22"/>
        </w:rPr>
        <w:t>consist</w:t>
      </w:r>
      <w:r w:rsidR="00A63E2C">
        <w:rPr>
          <w:rFonts w:ascii="Calibri" w:hAnsi="Calibri" w:cs="Calibri"/>
          <w:bCs/>
          <w:sz w:val="22"/>
          <w:szCs w:val="22"/>
        </w:rPr>
        <w:t>s</w:t>
      </w:r>
      <w:r w:rsidRPr="00EA23D6">
        <w:rPr>
          <w:rFonts w:ascii="Calibri" w:hAnsi="Calibri" w:cs="Calibri"/>
          <w:bCs/>
          <w:sz w:val="22"/>
          <w:szCs w:val="22"/>
        </w:rPr>
        <w:t xml:space="preserve"> of a coordinated cross-country information on the </w:t>
      </w:r>
      <w:r w:rsidR="002A3BD0">
        <w:rPr>
          <w:rFonts w:ascii="Calibri" w:hAnsi="Calibri" w:cs="Calibri"/>
          <w:bCs/>
          <w:sz w:val="22"/>
          <w:szCs w:val="22"/>
        </w:rPr>
        <w:t>bulk</w:t>
      </w:r>
      <w:r w:rsidRPr="00EA23D6">
        <w:rPr>
          <w:rFonts w:ascii="Calibri" w:hAnsi="Calibri" w:cs="Calibri"/>
          <w:bCs/>
          <w:sz w:val="22"/>
          <w:szCs w:val="22"/>
        </w:rPr>
        <w:t xml:space="preserve"> population of the MNE groups operating in the EU Member States and EFTA countries.</w:t>
      </w:r>
      <w:r w:rsidRPr="00EA23D6">
        <w:rPr>
          <w:rFonts w:ascii="Calibri" w:hAnsi="Calibri" w:cs="Calibri"/>
          <w:sz w:val="22"/>
          <w:szCs w:val="22"/>
          <w:lang w:eastAsia="en-GB"/>
        </w:rPr>
        <w:t xml:space="preserve"> This tier needs an automated process </w:t>
      </w:r>
      <w:r w:rsidR="00D54399" w:rsidRPr="00EA23D6">
        <w:rPr>
          <w:rFonts w:ascii="Calibri" w:hAnsi="Calibri" w:cs="Calibri"/>
          <w:sz w:val="22"/>
          <w:szCs w:val="22"/>
          <w:lang w:eastAsia="en-GB"/>
        </w:rPr>
        <w:t>to produce</w:t>
      </w:r>
      <w:r w:rsidRPr="00EA23D6">
        <w:rPr>
          <w:rFonts w:ascii="Calibri" w:hAnsi="Calibri" w:cs="Calibri"/>
          <w:sz w:val="22"/>
          <w:szCs w:val="22"/>
          <w:lang w:eastAsia="en-GB"/>
        </w:rPr>
        <w:t xml:space="preserve"> </w:t>
      </w:r>
      <w:r w:rsidRPr="00EA23D6">
        <w:rPr>
          <w:rFonts w:ascii="Calibri" w:hAnsi="Calibri" w:cs="Calibri"/>
          <w:i/>
          <w:iCs/>
          <w:sz w:val="22"/>
          <w:szCs w:val="22"/>
          <w:lang w:eastAsia="en-GB"/>
        </w:rPr>
        <w:t xml:space="preserve">annual frames </w:t>
      </w:r>
      <w:r w:rsidRPr="00EA23D6">
        <w:rPr>
          <w:rFonts w:ascii="Calibri" w:hAnsi="Calibri" w:cs="Calibri"/>
          <w:sz w:val="22"/>
          <w:szCs w:val="22"/>
          <w:lang w:eastAsia="en-GB"/>
        </w:rPr>
        <w:t>sufficiently timely to allow the EGR serving as supplementary frame for national surveys</w:t>
      </w:r>
      <w:r w:rsidRPr="00EA23D6">
        <w:rPr>
          <w:rFonts w:ascii="Calibri" w:hAnsi="Calibri" w:cs="Calibri"/>
          <w:bCs/>
          <w:sz w:val="22"/>
          <w:szCs w:val="22"/>
        </w:rPr>
        <w:t>.</w:t>
      </w:r>
      <w:r w:rsidR="00053C56">
        <w:rPr>
          <w:rFonts w:ascii="Calibri" w:hAnsi="Calibri" w:cs="Calibri"/>
          <w:bCs/>
          <w:sz w:val="22"/>
          <w:szCs w:val="22"/>
        </w:rPr>
        <w:t xml:space="preserve"> The automated process will be benefit and will improve with the experiences and the learnings in</w:t>
      </w:r>
      <w:r w:rsidR="000F2AA5">
        <w:rPr>
          <w:rFonts w:ascii="Calibri" w:hAnsi="Calibri" w:cs="Calibri"/>
          <w:bCs/>
          <w:sz w:val="22"/>
          <w:szCs w:val="22"/>
        </w:rPr>
        <w:t xml:space="preserve"> the</w:t>
      </w:r>
      <w:r w:rsidR="00053C56">
        <w:rPr>
          <w:rFonts w:ascii="Calibri" w:hAnsi="Calibri" w:cs="Calibri"/>
          <w:bCs/>
          <w:sz w:val="22"/>
          <w:szCs w:val="22"/>
        </w:rPr>
        <w:t xml:space="preserve"> treatment </w:t>
      </w:r>
      <w:r w:rsidR="000F2AA5">
        <w:rPr>
          <w:rFonts w:ascii="Calibri" w:hAnsi="Calibri" w:cs="Calibri"/>
          <w:bCs/>
          <w:sz w:val="22"/>
          <w:szCs w:val="22"/>
        </w:rPr>
        <w:t xml:space="preserve">of </w:t>
      </w:r>
      <w:r w:rsidR="00053C56">
        <w:rPr>
          <w:rFonts w:ascii="Calibri" w:hAnsi="Calibri" w:cs="Calibri"/>
          <w:bCs/>
          <w:sz w:val="22"/>
          <w:szCs w:val="22"/>
        </w:rPr>
        <w:t>the first tier</w:t>
      </w:r>
      <w:r w:rsidR="000F2AA5">
        <w:rPr>
          <w:rFonts w:ascii="Calibri" w:hAnsi="Calibri" w:cs="Calibri"/>
          <w:bCs/>
          <w:sz w:val="22"/>
          <w:szCs w:val="22"/>
        </w:rPr>
        <w:t>.</w:t>
      </w:r>
    </w:p>
    <w:p w14:paraId="284D55C8" w14:textId="77777777" w:rsidR="000D0853" w:rsidRPr="00F620A4" w:rsidRDefault="000D0853" w:rsidP="000D0853">
      <w:pPr>
        <w:pStyle w:val="Listenabsatz"/>
        <w:autoSpaceDE w:val="0"/>
        <w:autoSpaceDN w:val="0"/>
        <w:rPr>
          <w:lang w:eastAsia="en-GB"/>
        </w:rPr>
      </w:pPr>
    </w:p>
    <w:p w14:paraId="39E09FB7" w14:textId="17223F9B" w:rsidR="000D0853" w:rsidRDefault="000D0853" w:rsidP="00D54399">
      <w:pPr>
        <w:pStyle w:val="Text1"/>
        <w:ind w:left="0"/>
        <w:rPr>
          <w:rFonts w:ascii="Calibri" w:hAnsi="Calibri" w:cs="Calibri"/>
          <w:bCs/>
          <w:sz w:val="22"/>
          <w:szCs w:val="18"/>
        </w:rPr>
      </w:pPr>
      <w:r w:rsidRPr="00EA23D6">
        <w:rPr>
          <w:rFonts w:ascii="Calibri" w:hAnsi="Calibri" w:cs="Calibri"/>
          <w:bCs/>
          <w:sz w:val="22"/>
          <w:szCs w:val="18"/>
        </w:rPr>
        <w:t>This two</w:t>
      </w:r>
      <w:r w:rsidR="00D54399" w:rsidRPr="00EA23D6">
        <w:rPr>
          <w:rFonts w:ascii="Calibri" w:hAnsi="Calibri" w:cs="Calibri"/>
          <w:bCs/>
          <w:sz w:val="22"/>
          <w:szCs w:val="18"/>
        </w:rPr>
        <w:t>-</w:t>
      </w:r>
      <w:r w:rsidRPr="00EA23D6">
        <w:rPr>
          <w:rFonts w:ascii="Calibri" w:hAnsi="Calibri" w:cs="Calibri"/>
          <w:bCs/>
          <w:sz w:val="22"/>
          <w:szCs w:val="18"/>
        </w:rPr>
        <w:t xml:space="preserve">tier approach, which is visualised in the Figure </w:t>
      </w:r>
      <w:r w:rsidR="008A519C">
        <w:rPr>
          <w:rFonts w:ascii="Calibri" w:hAnsi="Calibri" w:cs="Calibri"/>
          <w:bCs/>
          <w:sz w:val="22"/>
          <w:szCs w:val="18"/>
        </w:rPr>
        <w:t>2</w:t>
      </w:r>
      <w:r w:rsidRPr="00EA23D6">
        <w:rPr>
          <w:rFonts w:ascii="Calibri" w:hAnsi="Calibri" w:cs="Calibri"/>
          <w:bCs/>
          <w:sz w:val="22"/>
          <w:szCs w:val="18"/>
        </w:rPr>
        <w:t xml:space="preserve"> below, does not necessarily imply two different IT systems, but a distinction between two ways of maintaining the </w:t>
      </w:r>
      <w:r w:rsidR="008A519C">
        <w:rPr>
          <w:rFonts w:ascii="Calibri" w:hAnsi="Calibri" w:cs="Calibri"/>
          <w:bCs/>
          <w:sz w:val="22"/>
          <w:szCs w:val="18"/>
        </w:rPr>
        <w:t xml:space="preserve">MNE </w:t>
      </w:r>
      <w:r w:rsidR="001A2FE6">
        <w:rPr>
          <w:rFonts w:ascii="Calibri" w:hAnsi="Calibri" w:cs="Calibri"/>
          <w:bCs/>
          <w:sz w:val="22"/>
          <w:szCs w:val="18"/>
        </w:rPr>
        <w:t xml:space="preserve">groups </w:t>
      </w:r>
      <w:r w:rsidR="001A2FE6" w:rsidRPr="00EA23D6">
        <w:rPr>
          <w:rFonts w:ascii="Calibri" w:hAnsi="Calibri" w:cs="Calibri"/>
          <w:bCs/>
          <w:sz w:val="22"/>
          <w:szCs w:val="18"/>
        </w:rPr>
        <w:t>in</w:t>
      </w:r>
      <w:r w:rsidRPr="00EA23D6">
        <w:rPr>
          <w:rFonts w:ascii="Calibri" w:hAnsi="Calibri" w:cs="Calibri"/>
          <w:bCs/>
          <w:sz w:val="22"/>
          <w:szCs w:val="18"/>
        </w:rPr>
        <w:t xml:space="preserve"> the </w:t>
      </w:r>
      <w:r w:rsidR="00317CF9">
        <w:rPr>
          <w:rFonts w:ascii="Calibri" w:hAnsi="Calibri" w:cs="Calibri"/>
          <w:bCs/>
          <w:sz w:val="22"/>
          <w:szCs w:val="18"/>
        </w:rPr>
        <w:t>EGR and</w:t>
      </w:r>
      <w:r w:rsidR="008A519C">
        <w:rPr>
          <w:rFonts w:ascii="Calibri" w:hAnsi="Calibri" w:cs="Calibri"/>
          <w:bCs/>
          <w:sz w:val="22"/>
          <w:szCs w:val="18"/>
        </w:rPr>
        <w:t xml:space="preserve"> in the national business registers</w:t>
      </w:r>
      <w:r w:rsidRPr="00EA23D6">
        <w:rPr>
          <w:rFonts w:ascii="Calibri" w:hAnsi="Calibri" w:cs="Calibri"/>
          <w:bCs/>
          <w:sz w:val="22"/>
          <w:szCs w:val="18"/>
        </w:rPr>
        <w:t xml:space="preserve"> based on their impact on the statistics.</w:t>
      </w:r>
    </w:p>
    <w:p w14:paraId="1C70B5FD" w14:textId="2D21BE4A" w:rsidR="00194ACD" w:rsidRDefault="00194ACD" w:rsidP="00D54399">
      <w:pPr>
        <w:pStyle w:val="Text1"/>
        <w:ind w:left="0"/>
        <w:rPr>
          <w:rFonts w:ascii="Calibri" w:hAnsi="Calibri" w:cs="Calibri"/>
          <w:bCs/>
          <w:sz w:val="22"/>
          <w:szCs w:val="18"/>
        </w:rPr>
      </w:pPr>
    </w:p>
    <w:p w14:paraId="47787472" w14:textId="0084AADC" w:rsidR="009C0B0D" w:rsidRDefault="00707E0B" w:rsidP="008839EF">
      <w:pPr>
        <w:pStyle w:val="Text1"/>
        <w:ind w:left="0"/>
        <w:jc w:val="center"/>
        <w:rPr>
          <w:rFonts w:ascii="Calibri" w:hAnsi="Calibri" w:cs="Calibri"/>
          <w:bCs/>
          <w:sz w:val="22"/>
          <w:szCs w:val="18"/>
        </w:rPr>
      </w:pPr>
      <w:r>
        <w:rPr>
          <w:rFonts w:ascii="Calibri" w:hAnsi="Calibri" w:cs="Calibri"/>
          <w:bCs/>
          <w:noProof/>
          <w:sz w:val="22"/>
          <w:szCs w:val="18"/>
        </w:rPr>
        <w:drawing>
          <wp:inline distT="0" distB="0" distL="0" distR="0" wp14:anchorId="7CB0B270" wp14:editId="5D4022D2">
            <wp:extent cx="3276600" cy="25622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0" cy="2562225"/>
                    </a:xfrm>
                    <a:prstGeom prst="rect">
                      <a:avLst/>
                    </a:prstGeom>
                    <a:noFill/>
                    <a:ln>
                      <a:noFill/>
                    </a:ln>
                  </pic:spPr>
                </pic:pic>
              </a:graphicData>
            </a:graphic>
          </wp:inline>
        </w:drawing>
      </w:r>
    </w:p>
    <w:p w14:paraId="02C63FA1" w14:textId="6CD333CE" w:rsidR="00E13BCB" w:rsidRPr="00F620A4" w:rsidRDefault="00E13BCB" w:rsidP="008839EF">
      <w:pPr>
        <w:keepNext/>
        <w:jc w:val="center"/>
        <w:rPr>
          <w:rStyle w:val="Fett"/>
          <w:rFonts w:ascii="Times New Roman" w:hAnsi="Times New Roman"/>
          <w:b w:val="0"/>
          <w:bCs w:val="0"/>
          <w:sz w:val="24"/>
          <w:lang w:val="en-GB" w:eastAsia="en-GB"/>
        </w:rPr>
      </w:pPr>
      <w:r w:rsidRPr="00F620A4">
        <w:rPr>
          <w:lang w:val="en-GB"/>
        </w:rPr>
        <w:t xml:space="preserve">Figure </w:t>
      </w:r>
      <w:r w:rsidRPr="00F620A4">
        <w:rPr>
          <w:lang w:val="en-GB"/>
        </w:rPr>
        <w:fldChar w:fldCharType="begin"/>
      </w:r>
      <w:r w:rsidRPr="00F620A4">
        <w:rPr>
          <w:lang w:val="en-GB"/>
        </w:rPr>
        <w:instrText xml:space="preserve"> SEQ Figure \* ARABIC </w:instrText>
      </w:r>
      <w:r w:rsidRPr="00F620A4">
        <w:rPr>
          <w:lang w:val="en-GB"/>
        </w:rPr>
        <w:fldChar w:fldCharType="separate"/>
      </w:r>
      <w:r w:rsidR="00725E08">
        <w:rPr>
          <w:noProof/>
          <w:lang w:val="en-GB"/>
        </w:rPr>
        <w:t>1</w:t>
      </w:r>
      <w:r w:rsidRPr="00F620A4">
        <w:rPr>
          <w:lang w:val="en-GB"/>
        </w:rPr>
        <w:fldChar w:fldCharType="end"/>
      </w:r>
      <w:r w:rsidRPr="00F620A4">
        <w:rPr>
          <w:lang w:val="en-GB"/>
        </w:rPr>
        <w:t>: Two</w:t>
      </w:r>
      <w:r w:rsidR="001C7D48">
        <w:rPr>
          <w:lang w:val="en-GB"/>
        </w:rPr>
        <w:t>-</w:t>
      </w:r>
      <w:r w:rsidRPr="00F620A4">
        <w:rPr>
          <w:lang w:val="en-GB"/>
        </w:rPr>
        <w:t xml:space="preserve">tier approach </w:t>
      </w:r>
      <w:r w:rsidR="00317CF9">
        <w:rPr>
          <w:lang w:val="en-GB"/>
        </w:rPr>
        <w:t xml:space="preserve">on MNE groups </w:t>
      </w:r>
      <w:r w:rsidRPr="00F620A4">
        <w:rPr>
          <w:lang w:val="en-GB"/>
        </w:rPr>
        <w:t>in the EGR</w:t>
      </w:r>
    </w:p>
    <w:p w14:paraId="40487725" w14:textId="037FB695" w:rsidR="00E8214D" w:rsidRPr="008D03CB" w:rsidRDefault="008A519C" w:rsidP="00E8214D">
      <w:pPr>
        <w:jc w:val="both"/>
        <w:rPr>
          <w:iCs/>
          <w:szCs w:val="24"/>
          <w:lang w:val="en-GB"/>
        </w:rPr>
      </w:pPr>
      <w:r>
        <w:rPr>
          <w:iCs/>
          <w:szCs w:val="24"/>
          <w:lang w:val="en-GB"/>
        </w:rPr>
        <w:t xml:space="preserve">The dedicated Task Force set up by Eurostat had the mandate </w:t>
      </w:r>
      <w:r w:rsidR="00772730">
        <w:rPr>
          <w:iCs/>
          <w:szCs w:val="24"/>
          <w:lang w:val="en-GB"/>
        </w:rPr>
        <w:t xml:space="preserve">to define and implement the </w:t>
      </w:r>
      <w:r w:rsidR="001C7D48" w:rsidRPr="001C7D48">
        <w:rPr>
          <w:rFonts w:cs="Calibri"/>
          <w:lang w:val="en-GB"/>
        </w:rPr>
        <w:t>Top-tier</w:t>
      </w:r>
      <w:r w:rsidR="001C7D48" w:rsidRPr="001C7D48">
        <w:rPr>
          <w:iCs/>
          <w:szCs w:val="24"/>
          <w:lang w:val="en-GB"/>
        </w:rPr>
        <w:t xml:space="preserve"> </w:t>
      </w:r>
      <w:r w:rsidR="00772730">
        <w:rPr>
          <w:iCs/>
          <w:szCs w:val="24"/>
          <w:lang w:val="en-GB"/>
        </w:rPr>
        <w:t>approach</w:t>
      </w:r>
      <w:r>
        <w:rPr>
          <w:iCs/>
          <w:szCs w:val="24"/>
          <w:lang w:val="en-GB"/>
        </w:rPr>
        <w:t xml:space="preserve"> </w:t>
      </w:r>
      <w:r w:rsidR="00317CF9">
        <w:rPr>
          <w:iCs/>
          <w:szCs w:val="24"/>
          <w:lang w:val="en-GB"/>
        </w:rPr>
        <w:t xml:space="preserve">and </w:t>
      </w:r>
      <w:r w:rsidR="00317CF9" w:rsidRPr="008D03CB">
        <w:rPr>
          <w:iCs/>
          <w:szCs w:val="24"/>
          <w:lang w:val="en-GB"/>
        </w:rPr>
        <w:t>shape</w:t>
      </w:r>
      <w:r w:rsidR="00E8214D" w:rsidRPr="008D03CB">
        <w:rPr>
          <w:iCs/>
          <w:szCs w:val="24"/>
          <w:lang w:val="en-GB"/>
        </w:rPr>
        <w:t xml:space="preserve"> the future EGR</w:t>
      </w:r>
      <w:r w:rsidR="00E8214D">
        <w:rPr>
          <w:iCs/>
          <w:szCs w:val="24"/>
          <w:lang w:val="en-GB"/>
        </w:rPr>
        <w:t>, with main objectives: i</w:t>
      </w:r>
      <w:r w:rsidR="00E8214D" w:rsidRPr="008D67E1">
        <w:rPr>
          <w:iCs/>
          <w:szCs w:val="24"/>
          <w:lang w:val="en-GB"/>
        </w:rPr>
        <w:t xml:space="preserve">dentify the target </w:t>
      </w:r>
      <w:r w:rsidR="00E8214D" w:rsidRPr="00F620A4">
        <w:rPr>
          <w:szCs w:val="24"/>
          <w:lang w:val="en-GB"/>
        </w:rPr>
        <w:t xml:space="preserve">Top-tier </w:t>
      </w:r>
      <w:r w:rsidR="00E8214D">
        <w:rPr>
          <w:szCs w:val="24"/>
          <w:lang w:val="en-GB"/>
        </w:rPr>
        <w:t xml:space="preserve">MNE </w:t>
      </w:r>
      <w:r w:rsidR="00E8214D" w:rsidRPr="00F620A4">
        <w:rPr>
          <w:szCs w:val="24"/>
          <w:lang w:val="en-GB"/>
        </w:rPr>
        <w:t>groups</w:t>
      </w:r>
      <w:r w:rsidR="00E8214D" w:rsidRPr="008D67E1">
        <w:rPr>
          <w:iCs/>
          <w:szCs w:val="24"/>
          <w:lang w:val="en-GB"/>
        </w:rPr>
        <w:t xml:space="preserve"> population</w:t>
      </w:r>
      <w:r w:rsidR="00E8214D">
        <w:rPr>
          <w:iCs/>
          <w:szCs w:val="24"/>
          <w:lang w:val="en-GB"/>
        </w:rPr>
        <w:t xml:space="preserve"> (</w:t>
      </w:r>
      <w:r w:rsidR="00380711">
        <w:rPr>
          <w:iCs/>
          <w:szCs w:val="24"/>
          <w:lang w:val="en-GB"/>
        </w:rPr>
        <w:t>section</w:t>
      </w:r>
      <w:r w:rsidR="00E8214D">
        <w:rPr>
          <w:iCs/>
          <w:szCs w:val="24"/>
          <w:lang w:val="en-GB"/>
        </w:rPr>
        <w:t xml:space="preserve"> 3) and </w:t>
      </w:r>
      <w:r w:rsidR="00E8214D" w:rsidRPr="008D67E1">
        <w:rPr>
          <w:iCs/>
          <w:szCs w:val="24"/>
          <w:lang w:val="en-GB"/>
        </w:rPr>
        <w:t>de</w:t>
      </w:r>
      <w:r w:rsidR="00E8214D">
        <w:rPr>
          <w:iCs/>
          <w:szCs w:val="24"/>
          <w:lang w:val="en-GB"/>
        </w:rPr>
        <w:t>sign</w:t>
      </w:r>
      <w:r w:rsidR="00E8214D" w:rsidRPr="008D67E1">
        <w:rPr>
          <w:iCs/>
          <w:szCs w:val="24"/>
          <w:lang w:val="en-GB"/>
        </w:rPr>
        <w:t xml:space="preserve"> the new </w:t>
      </w:r>
      <w:r w:rsidR="00E8214D">
        <w:rPr>
          <w:iCs/>
          <w:szCs w:val="24"/>
          <w:lang w:val="en-GB"/>
        </w:rPr>
        <w:t xml:space="preserve">process and </w:t>
      </w:r>
      <w:r w:rsidR="00E8214D" w:rsidRPr="008D67E1">
        <w:rPr>
          <w:iCs/>
          <w:szCs w:val="24"/>
          <w:lang w:val="en-GB"/>
        </w:rPr>
        <w:t>technical tool</w:t>
      </w:r>
      <w:r w:rsidR="00E8214D">
        <w:rPr>
          <w:iCs/>
          <w:szCs w:val="24"/>
          <w:lang w:val="en-GB"/>
        </w:rPr>
        <w:t>s for the treatment of ‘Top-tier-</w:t>
      </w:r>
      <w:r w:rsidR="00E8214D">
        <w:rPr>
          <w:iCs/>
          <w:szCs w:val="24"/>
          <w:lang w:val="en-GB"/>
        </w:rPr>
        <w:lastRenderedPageBreak/>
        <w:t>MNE groups’ (</w:t>
      </w:r>
      <w:r w:rsidR="00380711">
        <w:rPr>
          <w:iCs/>
          <w:szCs w:val="24"/>
          <w:lang w:val="en-GB"/>
        </w:rPr>
        <w:t>section</w:t>
      </w:r>
      <w:r w:rsidR="00E8214D">
        <w:rPr>
          <w:iCs/>
          <w:szCs w:val="24"/>
          <w:lang w:val="en-GB"/>
        </w:rPr>
        <w:t xml:space="preserve"> 4). </w:t>
      </w:r>
      <w:r w:rsidR="00E8214D" w:rsidRPr="008D67E1">
        <w:rPr>
          <w:iCs/>
          <w:szCs w:val="24"/>
          <w:lang w:val="en-GB"/>
        </w:rPr>
        <w:t xml:space="preserve">This task was carried out </w:t>
      </w:r>
      <w:r>
        <w:rPr>
          <w:iCs/>
          <w:szCs w:val="24"/>
          <w:lang w:val="en-GB"/>
        </w:rPr>
        <w:t xml:space="preserve">and successfully accomplished </w:t>
      </w:r>
      <w:r w:rsidR="00E8214D" w:rsidRPr="008D67E1">
        <w:rPr>
          <w:iCs/>
          <w:szCs w:val="24"/>
          <w:lang w:val="en-GB"/>
        </w:rPr>
        <w:t>in the period from the end of 2021 to mid-2023.</w:t>
      </w:r>
    </w:p>
    <w:p w14:paraId="0A83B8D7" w14:textId="4C124CF5" w:rsidR="00E13BCB" w:rsidRPr="00EA23D6" w:rsidRDefault="001C532E" w:rsidP="00D54399">
      <w:pPr>
        <w:pStyle w:val="Text1"/>
        <w:ind w:left="0"/>
        <w:rPr>
          <w:rFonts w:ascii="Calibri" w:hAnsi="Calibri" w:cs="Calibri"/>
          <w:bCs/>
          <w:sz w:val="22"/>
          <w:szCs w:val="18"/>
        </w:rPr>
      </w:pPr>
      <w:r>
        <w:rPr>
          <w:rFonts w:ascii="Calibri" w:hAnsi="Calibri" w:cs="Calibri"/>
          <w:bCs/>
          <w:sz w:val="22"/>
          <w:szCs w:val="18"/>
        </w:rPr>
        <w:t xml:space="preserve">The </w:t>
      </w:r>
      <w:r w:rsidR="008A519C">
        <w:rPr>
          <w:rFonts w:ascii="Calibri" w:hAnsi="Calibri" w:cs="Calibri"/>
          <w:bCs/>
          <w:sz w:val="22"/>
          <w:szCs w:val="18"/>
        </w:rPr>
        <w:t xml:space="preserve">following sections </w:t>
      </w:r>
      <w:r>
        <w:rPr>
          <w:rFonts w:ascii="Calibri" w:hAnsi="Calibri" w:cs="Calibri"/>
          <w:bCs/>
          <w:sz w:val="22"/>
          <w:szCs w:val="18"/>
        </w:rPr>
        <w:t xml:space="preserve">will focus on the description of the methodology that </w:t>
      </w:r>
      <w:r w:rsidR="00772730">
        <w:rPr>
          <w:rFonts w:ascii="Calibri" w:hAnsi="Calibri" w:cs="Calibri"/>
          <w:bCs/>
          <w:sz w:val="22"/>
          <w:szCs w:val="18"/>
        </w:rPr>
        <w:t>is</w:t>
      </w:r>
      <w:r>
        <w:rPr>
          <w:rFonts w:ascii="Calibri" w:hAnsi="Calibri" w:cs="Calibri"/>
          <w:bCs/>
          <w:sz w:val="22"/>
          <w:szCs w:val="18"/>
        </w:rPr>
        <w:t xml:space="preserve"> used to identify the </w:t>
      </w:r>
      <w:r w:rsidR="001C7D48" w:rsidRPr="001C7D48">
        <w:rPr>
          <w:rFonts w:ascii="Calibri" w:hAnsi="Calibri" w:cs="Calibri"/>
        </w:rPr>
        <w:t>Top-tier</w:t>
      </w:r>
      <w:r>
        <w:rPr>
          <w:rFonts w:ascii="Calibri" w:hAnsi="Calibri" w:cs="Calibri"/>
          <w:bCs/>
          <w:sz w:val="22"/>
          <w:szCs w:val="18"/>
        </w:rPr>
        <w:t xml:space="preserve"> MNE</w:t>
      </w:r>
      <w:r w:rsidR="00772730">
        <w:rPr>
          <w:rFonts w:ascii="Calibri" w:hAnsi="Calibri" w:cs="Calibri"/>
          <w:bCs/>
          <w:sz w:val="22"/>
          <w:szCs w:val="18"/>
        </w:rPr>
        <w:t xml:space="preserve"> groups,</w:t>
      </w:r>
      <w:r w:rsidR="00380711">
        <w:rPr>
          <w:rFonts w:ascii="Calibri" w:hAnsi="Calibri" w:cs="Calibri"/>
          <w:bCs/>
          <w:sz w:val="22"/>
          <w:szCs w:val="18"/>
        </w:rPr>
        <w:t xml:space="preserve"> </w:t>
      </w:r>
      <w:r>
        <w:rPr>
          <w:rFonts w:ascii="Calibri" w:hAnsi="Calibri" w:cs="Calibri"/>
          <w:bCs/>
          <w:sz w:val="22"/>
          <w:szCs w:val="18"/>
        </w:rPr>
        <w:t>the way the process of profiling them has been adapted and its output integrated into the new EGR system and process</w:t>
      </w:r>
      <w:r w:rsidR="00636ED2">
        <w:rPr>
          <w:rFonts w:ascii="Calibri" w:hAnsi="Calibri" w:cs="Calibri"/>
          <w:bCs/>
          <w:sz w:val="22"/>
          <w:szCs w:val="18"/>
        </w:rPr>
        <w:t xml:space="preserve"> [3]</w:t>
      </w:r>
      <w:r>
        <w:rPr>
          <w:rFonts w:ascii="Calibri" w:hAnsi="Calibri" w:cs="Calibri"/>
          <w:bCs/>
          <w:sz w:val="22"/>
          <w:szCs w:val="18"/>
        </w:rPr>
        <w:t>.</w:t>
      </w:r>
    </w:p>
    <w:p w14:paraId="0A20ACD8" w14:textId="77777777" w:rsidR="00A0672A" w:rsidRPr="00F620A4" w:rsidRDefault="00A0672A" w:rsidP="00D55B88">
      <w:pPr>
        <w:rPr>
          <w:rStyle w:val="Fett"/>
          <w:b w:val="0"/>
          <w:bCs w:val="0"/>
          <w:lang w:val="en-GB"/>
        </w:rPr>
      </w:pPr>
    </w:p>
    <w:p w14:paraId="22939AAF" w14:textId="77777777" w:rsidR="00147C10" w:rsidRPr="00F620A4" w:rsidRDefault="00147C10" w:rsidP="00411D4E">
      <w:pPr>
        <w:pStyle w:val="berschrift1"/>
        <w:rPr>
          <w:rStyle w:val="Fett"/>
          <w:b/>
          <w:bCs w:val="0"/>
        </w:rPr>
      </w:pPr>
      <w:r w:rsidRPr="00F620A4">
        <w:rPr>
          <w:rStyle w:val="Fett"/>
          <w:b/>
          <w:bCs w:val="0"/>
        </w:rPr>
        <w:t xml:space="preserve">Complex and Statistical </w:t>
      </w:r>
      <w:r w:rsidR="00FC2E19" w:rsidRPr="00F620A4">
        <w:rPr>
          <w:rStyle w:val="Fett"/>
          <w:b/>
          <w:bCs w:val="0"/>
        </w:rPr>
        <w:t xml:space="preserve">Impact (CSI) </w:t>
      </w:r>
      <w:r w:rsidRPr="00F620A4">
        <w:rPr>
          <w:rStyle w:val="Fett"/>
          <w:b/>
          <w:bCs w:val="0"/>
        </w:rPr>
        <w:t>Index</w:t>
      </w:r>
    </w:p>
    <w:p w14:paraId="13A1F89B" w14:textId="6889BFB1" w:rsidR="008D67E1" w:rsidRPr="001C7D48" w:rsidRDefault="00411D4E" w:rsidP="005C1188">
      <w:pPr>
        <w:jc w:val="both"/>
        <w:rPr>
          <w:szCs w:val="24"/>
        </w:rPr>
      </w:pPr>
      <w:r w:rsidRPr="00F620A4">
        <w:rPr>
          <w:szCs w:val="24"/>
          <w:lang w:val="en-GB"/>
        </w:rPr>
        <w:t xml:space="preserve">  </w:t>
      </w:r>
      <w:r w:rsidR="00317CF9">
        <w:rPr>
          <w:szCs w:val="24"/>
          <w:lang w:val="en-GB"/>
        </w:rPr>
        <w:t>To</w:t>
      </w:r>
      <w:r w:rsidR="00797500">
        <w:rPr>
          <w:szCs w:val="24"/>
          <w:lang w:val="en-GB"/>
        </w:rPr>
        <w:t xml:space="preserve"> </w:t>
      </w:r>
      <w:r w:rsidRPr="00F620A4">
        <w:rPr>
          <w:szCs w:val="24"/>
          <w:lang w:val="en-GB"/>
        </w:rPr>
        <w:t xml:space="preserve">focus </w:t>
      </w:r>
      <w:r w:rsidR="00772730">
        <w:rPr>
          <w:szCs w:val="24"/>
          <w:lang w:val="en-GB"/>
        </w:rPr>
        <w:t xml:space="preserve">the </w:t>
      </w:r>
      <w:r w:rsidR="00797500">
        <w:rPr>
          <w:szCs w:val="24"/>
          <w:lang w:val="en-GB"/>
        </w:rPr>
        <w:t xml:space="preserve">NSIs efforts and resources </w:t>
      </w:r>
      <w:r w:rsidR="008A519C">
        <w:rPr>
          <w:szCs w:val="24"/>
          <w:lang w:val="en-GB"/>
        </w:rPr>
        <w:t xml:space="preserve">spent on European Profiling </w:t>
      </w:r>
      <w:r w:rsidRPr="00F620A4">
        <w:rPr>
          <w:szCs w:val="24"/>
          <w:lang w:val="en-GB"/>
        </w:rPr>
        <w:t xml:space="preserve">on the </w:t>
      </w:r>
      <w:r w:rsidR="008A519C">
        <w:rPr>
          <w:szCs w:val="24"/>
          <w:lang w:val="en-GB"/>
        </w:rPr>
        <w:t xml:space="preserve">really </w:t>
      </w:r>
      <w:r w:rsidRPr="00F620A4">
        <w:rPr>
          <w:szCs w:val="24"/>
          <w:lang w:val="en-GB"/>
        </w:rPr>
        <w:t>most important groups (‘Top-tier’</w:t>
      </w:r>
      <w:r w:rsidR="007B45E6" w:rsidRPr="00F620A4">
        <w:rPr>
          <w:szCs w:val="24"/>
          <w:lang w:val="en-GB"/>
        </w:rPr>
        <w:t xml:space="preserve"> groups</w:t>
      </w:r>
      <w:r w:rsidRPr="00F620A4">
        <w:rPr>
          <w:szCs w:val="24"/>
          <w:lang w:val="en-GB"/>
        </w:rPr>
        <w:t>)</w:t>
      </w:r>
      <w:r w:rsidR="00772730">
        <w:rPr>
          <w:szCs w:val="24"/>
          <w:lang w:val="en-GB"/>
        </w:rPr>
        <w:t xml:space="preserve">, </w:t>
      </w:r>
      <w:r w:rsidR="001A2FE6">
        <w:rPr>
          <w:szCs w:val="24"/>
          <w:lang w:val="en-GB"/>
        </w:rPr>
        <w:t>a structured</w:t>
      </w:r>
      <w:r w:rsidR="00E176EC">
        <w:rPr>
          <w:szCs w:val="24"/>
          <w:lang w:val="en-GB"/>
        </w:rPr>
        <w:t xml:space="preserve"> and accepted method </w:t>
      </w:r>
      <w:r w:rsidR="008839EF">
        <w:rPr>
          <w:szCs w:val="24"/>
          <w:lang w:val="en-GB"/>
        </w:rPr>
        <w:t xml:space="preserve">to </w:t>
      </w:r>
      <w:r w:rsidR="008839EF" w:rsidRPr="00F620A4">
        <w:rPr>
          <w:szCs w:val="24"/>
          <w:lang w:val="en-GB"/>
        </w:rPr>
        <w:t>identify</w:t>
      </w:r>
      <w:r w:rsidRPr="00F620A4">
        <w:rPr>
          <w:szCs w:val="24"/>
          <w:lang w:val="en-GB"/>
        </w:rPr>
        <w:t xml:space="preserve"> </w:t>
      </w:r>
      <w:r w:rsidR="008A519C" w:rsidRPr="00F620A4">
        <w:rPr>
          <w:szCs w:val="24"/>
          <w:lang w:val="en-GB"/>
        </w:rPr>
        <w:t xml:space="preserve">these Top-tier </w:t>
      </w:r>
      <w:r w:rsidR="008A519C">
        <w:rPr>
          <w:szCs w:val="24"/>
          <w:lang w:val="en-GB"/>
        </w:rPr>
        <w:t xml:space="preserve">MNE </w:t>
      </w:r>
      <w:r w:rsidR="008A519C" w:rsidRPr="00F620A4">
        <w:rPr>
          <w:szCs w:val="24"/>
          <w:lang w:val="en-GB"/>
        </w:rPr>
        <w:t>groups</w:t>
      </w:r>
      <w:r w:rsidR="008A519C">
        <w:rPr>
          <w:szCs w:val="24"/>
          <w:lang w:val="en-GB"/>
        </w:rPr>
        <w:t xml:space="preserve"> had to be defined, based on ESS agreed </w:t>
      </w:r>
      <w:r w:rsidR="00797500">
        <w:rPr>
          <w:szCs w:val="24"/>
          <w:lang w:val="en-GB"/>
        </w:rPr>
        <w:t>criteria</w:t>
      </w:r>
      <w:r w:rsidR="008A519C">
        <w:rPr>
          <w:szCs w:val="24"/>
          <w:lang w:val="en-GB"/>
        </w:rPr>
        <w:t xml:space="preserve">. The result was the creation of the Complexity and Statistical Impact index, </w:t>
      </w:r>
      <w:r w:rsidR="003F2C82">
        <w:rPr>
          <w:szCs w:val="24"/>
          <w:lang w:val="en-GB"/>
        </w:rPr>
        <w:t>that is applied to the EGR MNE groups’ population.</w:t>
      </w:r>
      <w:r w:rsidR="003F2C82" w:rsidDel="003F2C82">
        <w:rPr>
          <w:szCs w:val="24"/>
          <w:lang w:val="en-GB"/>
        </w:rPr>
        <w:t xml:space="preserve"> </w:t>
      </w:r>
    </w:p>
    <w:p w14:paraId="511753CC" w14:textId="2820D723" w:rsidR="00411D4E" w:rsidRPr="00F620A4" w:rsidRDefault="00411D4E" w:rsidP="00BC368E">
      <w:pPr>
        <w:pStyle w:val="berschrift2"/>
        <w:rPr>
          <w:b w:val="0"/>
          <w:bCs/>
        </w:rPr>
      </w:pPr>
      <w:r w:rsidRPr="003F2C82">
        <w:rPr>
          <w:b w:val="0"/>
          <w:bCs/>
        </w:rPr>
        <w:t xml:space="preserve">The inception and creation of the </w:t>
      </w:r>
      <w:r w:rsidR="003F2C82" w:rsidRPr="001C7D48">
        <w:rPr>
          <w:b w:val="0"/>
          <w:bCs/>
          <w:szCs w:val="24"/>
        </w:rPr>
        <w:t>Complexity and Statistical Impact (</w:t>
      </w:r>
      <w:r w:rsidRPr="003F2C82">
        <w:rPr>
          <w:b w:val="0"/>
          <w:bCs/>
        </w:rPr>
        <w:t>CSI</w:t>
      </w:r>
      <w:r w:rsidR="003F2C82" w:rsidRPr="003F2C82">
        <w:rPr>
          <w:b w:val="0"/>
          <w:bCs/>
        </w:rPr>
        <w:t>)</w:t>
      </w:r>
      <w:r w:rsidRPr="00F620A4">
        <w:rPr>
          <w:b w:val="0"/>
          <w:bCs/>
        </w:rPr>
        <w:t xml:space="preserve"> index</w:t>
      </w:r>
    </w:p>
    <w:p w14:paraId="06F69400" w14:textId="2730598D" w:rsidR="00411D4E" w:rsidRPr="00EA23D6" w:rsidRDefault="00411D4E" w:rsidP="00411D4E">
      <w:pPr>
        <w:rPr>
          <w:rFonts w:cs="Calibri"/>
          <w:lang w:val="en-GB"/>
        </w:rPr>
      </w:pPr>
      <w:r w:rsidRPr="00EA23D6">
        <w:rPr>
          <w:rFonts w:cs="Calibri"/>
          <w:lang w:val="en-GB"/>
        </w:rPr>
        <w:t xml:space="preserve">To distinguish </w:t>
      </w:r>
      <w:r w:rsidR="00D7091E">
        <w:rPr>
          <w:rFonts w:cs="Calibri"/>
          <w:lang w:val="en-GB"/>
        </w:rPr>
        <w:t>the</w:t>
      </w:r>
      <w:r w:rsidRPr="00EA23D6">
        <w:rPr>
          <w:rFonts w:cs="Calibri"/>
          <w:lang w:val="en-GB"/>
        </w:rPr>
        <w:t xml:space="preserve"> </w:t>
      </w:r>
      <w:r w:rsidR="007B45E6" w:rsidRPr="00EA23D6">
        <w:rPr>
          <w:rFonts w:cs="Calibri"/>
          <w:lang w:val="en-GB"/>
        </w:rPr>
        <w:t>‘</w:t>
      </w:r>
      <w:r w:rsidRPr="00EA23D6">
        <w:rPr>
          <w:rFonts w:cs="Calibri"/>
          <w:lang w:val="en-GB"/>
        </w:rPr>
        <w:t xml:space="preserve">Top-tier </w:t>
      </w:r>
      <w:r w:rsidR="00D7091E">
        <w:rPr>
          <w:rFonts w:cs="Calibri"/>
          <w:lang w:val="en-GB"/>
        </w:rPr>
        <w:t xml:space="preserve">MNE </w:t>
      </w:r>
      <w:r w:rsidRPr="00EA23D6">
        <w:rPr>
          <w:rFonts w:cs="Calibri"/>
          <w:lang w:val="en-GB"/>
        </w:rPr>
        <w:t>groups</w:t>
      </w:r>
      <w:r w:rsidR="007B45E6" w:rsidRPr="00EA23D6">
        <w:rPr>
          <w:rFonts w:cs="Calibri"/>
          <w:lang w:val="en-GB"/>
        </w:rPr>
        <w:t>’</w:t>
      </w:r>
      <w:r w:rsidRPr="00EA23D6">
        <w:rPr>
          <w:rFonts w:cs="Calibri"/>
          <w:lang w:val="en-GB"/>
        </w:rPr>
        <w:t xml:space="preserve"> proportion in the EGR, the</w:t>
      </w:r>
      <w:r w:rsidR="00D7091E">
        <w:rPr>
          <w:rFonts w:cs="Calibri"/>
          <w:lang w:val="en-GB"/>
        </w:rPr>
        <w:t xml:space="preserve"> MNE groups are</w:t>
      </w:r>
      <w:r w:rsidRPr="00EA23D6">
        <w:rPr>
          <w:rFonts w:cs="Calibri"/>
          <w:lang w:val="en-GB"/>
        </w:rPr>
        <w:t xml:space="preserve"> classified according to different criteria:</w:t>
      </w:r>
    </w:p>
    <w:p w14:paraId="3C988424" w14:textId="77777777" w:rsidR="00411D4E" w:rsidRPr="00EA23D6" w:rsidRDefault="00411D4E" w:rsidP="00411D4E">
      <w:pPr>
        <w:pStyle w:val="Listenabsatz"/>
        <w:numPr>
          <w:ilvl w:val="0"/>
          <w:numId w:val="13"/>
        </w:numPr>
        <w:spacing w:before="0" w:after="160" w:line="259" w:lineRule="auto"/>
        <w:jc w:val="left"/>
        <w:rPr>
          <w:rFonts w:ascii="Calibri" w:hAnsi="Calibri" w:cs="Calibri"/>
          <w:sz w:val="22"/>
          <w:szCs w:val="22"/>
        </w:rPr>
      </w:pPr>
      <w:r w:rsidRPr="00EA23D6">
        <w:rPr>
          <w:rFonts w:ascii="Calibri" w:hAnsi="Calibri" w:cs="Calibri"/>
          <w:sz w:val="22"/>
          <w:szCs w:val="22"/>
        </w:rPr>
        <w:t>Size</w:t>
      </w:r>
    </w:p>
    <w:p w14:paraId="42121F23" w14:textId="5AE7BA70" w:rsidR="00411D4E" w:rsidRPr="00EA23D6" w:rsidRDefault="00411D4E" w:rsidP="00411D4E">
      <w:pPr>
        <w:ind w:firstLine="360"/>
        <w:rPr>
          <w:rFonts w:cs="Calibri"/>
          <w:lang w:val="en-GB"/>
        </w:rPr>
      </w:pPr>
      <w:r w:rsidRPr="00EA23D6">
        <w:rPr>
          <w:rFonts w:cs="Calibri"/>
          <w:lang w:val="en-GB"/>
        </w:rPr>
        <w:t xml:space="preserve">One (or a combination) of the following </w:t>
      </w:r>
      <w:r w:rsidR="00D7091E">
        <w:rPr>
          <w:rFonts w:cs="Calibri"/>
          <w:lang w:val="en-GB"/>
        </w:rPr>
        <w:t>variables</w:t>
      </w:r>
      <w:r w:rsidR="00D7091E" w:rsidRPr="00EA23D6">
        <w:rPr>
          <w:rFonts w:cs="Calibri"/>
          <w:lang w:val="en-GB"/>
        </w:rPr>
        <w:t xml:space="preserve"> </w:t>
      </w:r>
      <w:r w:rsidRPr="00EA23D6">
        <w:rPr>
          <w:rFonts w:cs="Calibri"/>
          <w:lang w:val="en-GB"/>
        </w:rPr>
        <w:t xml:space="preserve">can </w:t>
      </w:r>
      <w:r w:rsidR="00D7091E">
        <w:rPr>
          <w:rFonts w:cs="Calibri"/>
          <w:lang w:val="en-GB"/>
        </w:rPr>
        <w:t>be used for</w:t>
      </w:r>
      <w:r w:rsidR="00D7091E" w:rsidRPr="00EA23D6">
        <w:rPr>
          <w:rFonts w:cs="Calibri"/>
          <w:lang w:val="en-GB"/>
        </w:rPr>
        <w:t xml:space="preserve"> </w:t>
      </w:r>
      <w:r w:rsidRPr="00EA23D6">
        <w:rPr>
          <w:rFonts w:cs="Calibri"/>
          <w:lang w:val="en-GB"/>
        </w:rPr>
        <w:t>this criterion:</w:t>
      </w:r>
    </w:p>
    <w:p w14:paraId="4C41552F" w14:textId="77777777" w:rsidR="00411D4E" w:rsidRPr="00EA23D6" w:rsidRDefault="00411D4E" w:rsidP="005B148E">
      <w:pPr>
        <w:pStyle w:val="Listenabsatz"/>
        <w:numPr>
          <w:ilvl w:val="0"/>
          <w:numId w:val="28"/>
        </w:numPr>
        <w:spacing w:before="0" w:after="160" w:line="259" w:lineRule="auto"/>
        <w:jc w:val="left"/>
        <w:rPr>
          <w:rFonts w:ascii="Calibri" w:hAnsi="Calibri" w:cs="Calibri"/>
          <w:sz w:val="22"/>
          <w:szCs w:val="22"/>
        </w:rPr>
      </w:pPr>
      <w:r w:rsidRPr="00EA23D6">
        <w:rPr>
          <w:rFonts w:ascii="Calibri" w:hAnsi="Calibri" w:cs="Calibri"/>
          <w:sz w:val="22"/>
          <w:szCs w:val="22"/>
        </w:rPr>
        <w:t>Consolidated EU (and/or global) turnover</w:t>
      </w:r>
      <w:r w:rsidR="005C1188">
        <w:rPr>
          <w:rFonts w:ascii="Calibri" w:hAnsi="Calibri" w:cs="Calibri"/>
          <w:sz w:val="22"/>
          <w:szCs w:val="22"/>
        </w:rPr>
        <w:t>,</w:t>
      </w:r>
    </w:p>
    <w:p w14:paraId="016DD341" w14:textId="77777777" w:rsidR="00411D4E" w:rsidRPr="00EA23D6" w:rsidRDefault="00411D4E" w:rsidP="005B148E">
      <w:pPr>
        <w:pStyle w:val="Listenabsatz"/>
        <w:numPr>
          <w:ilvl w:val="0"/>
          <w:numId w:val="28"/>
        </w:numPr>
        <w:spacing w:before="0" w:after="160" w:line="259" w:lineRule="auto"/>
        <w:jc w:val="left"/>
        <w:rPr>
          <w:rFonts w:ascii="Calibri" w:hAnsi="Calibri" w:cs="Calibri"/>
          <w:sz w:val="22"/>
          <w:szCs w:val="22"/>
        </w:rPr>
      </w:pPr>
      <w:r w:rsidRPr="00EA23D6">
        <w:rPr>
          <w:rFonts w:ascii="Calibri" w:hAnsi="Calibri" w:cs="Calibri"/>
          <w:sz w:val="22"/>
          <w:szCs w:val="22"/>
        </w:rPr>
        <w:t>Total balance sheet</w:t>
      </w:r>
      <w:r w:rsidR="005C1188">
        <w:rPr>
          <w:rFonts w:ascii="Calibri" w:hAnsi="Calibri" w:cs="Calibri"/>
          <w:sz w:val="22"/>
          <w:szCs w:val="22"/>
        </w:rPr>
        <w:t>,</w:t>
      </w:r>
    </w:p>
    <w:p w14:paraId="6D4E1CA8" w14:textId="77777777" w:rsidR="00411D4E" w:rsidRPr="00EA23D6" w:rsidRDefault="00411D4E" w:rsidP="005B148E">
      <w:pPr>
        <w:pStyle w:val="Listenabsatz"/>
        <w:numPr>
          <w:ilvl w:val="0"/>
          <w:numId w:val="28"/>
        </w:numPr>
        <w:spacing w:before="0" w:after="160" w:line="259" w:lineRule="auto"/>
        <w:jc w:val="left"/>
        <w:rPr>
          <w:rFonts w:ascii="Calibri" w:hAnsi="Calibri" w:cs="Calibri"/>
          <w:sz w:val="22"/>
          <w:szCs w:val="22"/>
        </w:rPr>
      </w:pPr>
      <w:r w:rsidRPr="00EA23D6">
        <w:rPr>
          <w:rFonts w:ascii="Calibri" w:hAnsi="Calibri" w:cs="Calibri"/>
          <w:sz w:val="22"/>
          <w:szCs w:val="22"/>
        </w:rPr>
        <w:t>Value added</w:t>
      </w:r>
      <w:r w:rsidR="005C1188">
        <w:rPr>
          <w:rFonts w:ascii="Calibri" w:hAnsi="Calibri" w:cs="Calibri"/>
          <w:sz w:val="22"/>
          <w:szCs w:val="22"/>
        </w:rPr>
        <w:t>,</w:t>
      </w:r>
    </w:p>
    <w:p w14:paraId="68AE5423" w14:textId="77777777" w:rsidR="00411D4E" w:rsidRPr="00EA23D6" w:rsidRDefault="00411D4E" w:rsidP="005B148E">
      <w:pPr>
        <w:pStyle w:val="Listenabsatz"/>
        <w:numPr>
          <w:ilvl w:val="0"/>
          <w:numId w:val="28"/>
        </w:numPr>
        <w:spacing w:before="0" w:after="160" w:line="259" w:lineRule="auto"/>
        <w:jc w:val="left"/>
        <w:rPr>
          <w:rFonts w:ascii="Calibri" w:hAnsi="Calibri" w:cs="Calibri"/>
          <w:sz w:val="22"/>
          <w:szCs w:val="22"/>
        </w:rPr>
      </w:pPr>
      <w:r w:rsidRPr="00EA23D6">
        <w:rPr>
          <w:rFonts w:ascii="Calibri" w:hAnsi="Calibri" w:cs="Calibri"/>
          <w:sz w:val="22"/>
          <w:szCs w:val="22"/>
        </w:rPr>
        <w:t>Totals for international trade</w:t>
      </w:r>
      <w:r w:rsidR="005C1188">
        <w:rPr>
          <w:rFonts w:ascii="Calibri" w:hAnsi="Calibri" w:cs="Calibri"/>
          <w:sz w:val="22"/>
          <w:szCs w:val="22"/>
        </w:rPr>
        <w:t>,</w:t>
      </w:r>
    </w:p>
    <w:p w14:paraId="02DEB8E1" w14:textId="77777777" w:rsidR="00411D4E" w:rsidRPr="00EA23D6" w:rsidRDefault="00411D4E" w:rsidP="005B148E">
      <w:pPr>
        <w:pStyle w:val="Listenabsatz"/>
        <w:numPr>
          <w:ilvl w:val="0"/>
          <w:numId w:val="28"/>
        </w:numPr>
        <w:spacing w:before="0" w:after="160" w:line="259" w:lineRule="auto"/>
        <w:jc w:val="left"/>
        <w:rPr>
          <w:rFonts w:ascii="Calibri" w:hAnsi="Calibri" w:cs="Calibri"/>
          <w:sz w:val="22"/>
          <w:szCs w:val="22"/>
        </w:rPr>
      </w:pPr>
      <w:r w:rsidRPr="00EA23D6">
        <w:rPr>
          <w:rFonts w:ascii="Calibri" w:hAnsi="Calibri" w:cs="Calibri"/>
          <w:sz w:val="22"/>
          <w:szCs w:val="22"/>
        </w:rPr>
        <w:t>Number of employees (globally/EU)</w:t>
      </w:r>
    </w:p>
    <w:p w14:paraId="35675460" w14:textId="77777777" w:rsidR="00411D4E" w:rsidRPr="00EA23D6" w:rsidRDefault="00411D4E" w:rsidP="00411D4E">
      <w:pPr>
        <w:pStyle w:val="Listenabsatz"/>
        <w:rPr>
          <w:rFonts w:ascii="Calibri" w:hAnsi="Calibri" w:cs="Calibri"/>
          <w:sz w:val="22"/>
          <w:szCs w:val="22"/>
        </w:rPr>
      </w:pPr>
    </w:p>
    <w:p w14:paraId="581CA90A" w14:textId="77777777" w:rsidR="00411D4E" w:rsidRPr="00EA23D6" w:rsidRDefault="00411D4E" w:rsidP="00411D4E">
      <w:pPr>
        <w:pStyle w:val="Listenabsatz"/>
        <w:numPr>
          <w:ilvl w:val="0"/>
          <w:numId w:val="14"/>
        </w:numPr>
        <w:spacing w:before="0" w:after="160" w:line="259" w:lineRule="auto"/>
        <w:jc w:val="left"/>
        <w:rPr>
          <w:rFonts w:ascii="Calibri" w:hAnsi="Calibri" w:cs="Calibri"/>
          <w:sz w:val="22"/>
          <w:szCs w:val="22"/>
        </w:rPr>
      </w:pPr>
      <w:r w:rsidRPr="00EA23D6">
        <w:rPr>
          <w:rFonts w:ascii="Calibri" w:hAnsi="Calibri" w:cs="Calibri"/>
          <w:sz w:val="22"/>
          <w:szCs w:val="22"/>
        </w:rPr>
        <w:t>Complexity</w:t>
      </w:r>
    </w:p>
    <w:p w14:paraId="5E8DBE05" w14:textId="06E84085" w:rsidR="00411D4E" w:rsidRPr="00EA23D6" w:rsidRDefault="00D7091E" w:rsidP="00411D4E">
      <w:pPr>
        <w:ind w:firstLine="360"/>
        <w:rPr>
          <w:rFonts w:cs="Calibri"/>
          <w:lang w:val="en-GB"/>
        </w:rPr>
      </w:pPr>
      <w:r w:rsidRPr="00EA23D6">
        <w:rPr>
          <w:rFonts w:cs="Calibri"/>
          <w:lang w:val="en-GB"/>
        </w:rPr>
        <w:t xml:space="preserve">One (or a combination) of the following </w:t>
      </w:r>
      <w:r>
        <w:rPr>
          <w:rFonts w:cs="Calibri"/>
          <w:lang w:val="en-GB"/>
        </w:rPr>
        <w:t>variables</w:t>
      </w:r>
      <w:r w:rsidRPr="00EA23D6">
        <w:rPr>
          <w:rFonts w:cs="Calibri"/>
          <w:lang w:val="en-GB"/>
        </w:rPr>
        <w:t xml:space="preserve"> can </w:t>
      </w:r>
      <w:r>
        <w:rPr>
          <w:rFonts w:cs="Calibri"/>
          <w:lang w:val="en-GB"/>
        </w:rPr>
        <w:t>be used for</w:t>
      </w:r>
      <w:r w:rsidRPr="00EA23D6">
        <w:rPr>
          <w:rFonts w:cs="Calibri"/>
          <w:lang w:val="en-GB"/>
        </w:rPr>
        <w:t xml:space="preserve"> this criterion</w:t>
      </w:r>
      <w:r w:rsidR="00411D4E" w:rsidRPr="00EA23D6">
        <w:rPr>
          <w:rFonts w:cs="Calibri"/>
          <w:lang w:val="en-GB"/>
        </w:rPr>
        <w:t>:</w:t>
      </w:r>
    </w:p>
    <w:p w14:paraId="7EBFBA67" w14:textId="77777777" w:rsidR="00411D4E" w:rsidRPr="00EA23D6" w:rsidRDefault="00411D4E" w:rsidP="005B148E">
      <w:pPr>
        <w:pStyle w:val="Listenabsatz"/>
        <w:numPr>
          <w:ilvl w:val="0"/>
          <w:numId w:val="27"/>
        </w:numPr>
        <w:suppressAutoHyphens/>
        <w:spacing w:before="0" w:after="200" w:line="276" w:lineRule="auto"/>
        <w:jc w:val="left"/>
        <w:rPr>
          <w:rFonts w:ascii="Calibri" w:hAnsi="Calibri" w:cs="Calibri"/>
          <w:sz w:val="22"/>
          <w:szCs w:val="22"/>
        </w:rPr>
      </w:pPr>
      <w:r w:rsidRPr="00EA23D6">
        <w:rPr>
          <w:rFonts w:ascii="Calibri" w:hAnsi="Calibri" w:cs="Calibri"/>
          <w:sz w:val="22"/>
          <w:szCs w:val="22"/>
        </w:rPr>
        <w:t xml:space="preserve">Number of LEUs (or ENTs) in </w:t>
      </w:r>
      <w:proofErr w:type="gramStart"/>
      <w:r w:rsidRPr="00EA23D6">
        <w:rPr>
          <w:rFonts w:ascii="Calibri" w:hAnsi="Calibri" w:cs="Calibri"/>
          <w:sz w:val="22"/>
          <w:szCs w:val="22"/>
        </w:rPr>
        <w:t>a</w:t>
      </w:r>
      <w:proofErr w:type="gramEnd"/>
      <w:r w:rsidRPr="00EA23D6">
        <w:rPr>
          <w:rFonts w:ascii="Calibri" w:hAnsi="Calibri" w:cs="Calibri"/>
          <w:sz w:val="22"/>
          <w:szCs w:val="22"/>
        </w:rPr>
        <w:t xml:space="preserve"> MNE </w:t>
      </w:r>
      <w:r w:rsidR="00B70376">
        <w:rPr>
          <w:rFonts w:ascii="Calibri" w:hAnsi="Calibri" w:cs="Calibri"/>
          <w:sz w:val="22"/>
          <w:szCs w:val="22"/>
        </w:rPr>
        <w:t xml:space="preserve">group </w:t>
      </w:r>
      <w:r w:rsidRPr="00EA23D6">
        <w:rPr>
          <w:rFonts w:ascii="Calibri" w:hAnsi="Calibri" w:cs="Calibri"/>
          <w:sz w:val="22"/>
          <w:szCs w:val="22"/>
        </w:rPr>
        <w:t>structure</w:t>
      </w:r>
      <w:r w:rsidR="005C1188">
        <w:rPr>
          <w:rFonts w:ascii="Calibri" w:hAnsi="Calibri" w:cs="Calibri"/>
          <w:sz w:val="22"/>
          <w:szCs w:val="22"/>
        </w:rPr>
        <w:t>,</w:t>
      </w:r>
    </w:p>
    <w:p w14:paraId="1C5EF389" w14:textId="77777777" w:rsidR="00411D4E" w:rsidRPr="00EA23D6" w:rsidRDefault="00411D4E" w:rsidP="005B148E">
      <w:pPr>
        <w:pStyle w:val="Listenabsatz"/>
        <w:numPr>
          <w:ilvl w:val="0"/>
          <w:numId w:val="27"/>
        </w:numPr>
        <w:suppressAutoHyphens/>
        <w:spacing w:before="0" w:after="200" w:line="276" w:lineRule="auto"/>
        <w:jc w:val="left"/>
        <w:rPr>
          <w:rFonts w:ascii="Calibri" w:hAnsi="Calibri" w:cs="Calibri"/>
          <w:sz w:val="22"/>
          <w:szCs w:val="22"/>
        </w:rPr>
      </w:pPr>
      <w:r w:rsidRPr="00EA23D6">
        <w:rPr>
          <w:rFonts w:ascii="Calibri" w:hAnsi="Calibri" w:cs="Calibri"/>
          <w:sz w:val="22"/>
          <w:szCs w:val="22"/>
        </w:rPr>
        <w:t xml:space="preserve">Number of different LEU-NACE codes in </w:t>
      </w:r>
      <w:proofErr w:type="gramStart"/>
      <w:r w:rsidRPr="00EA23D6">
        <w:rPr>
          <w:rFonts w:ascii="Calibri" w:hAnsi="Calibri" w:cs="Calibri"/>
          <w:sz w:val="22"/>
          <w:szCs w:val="22"/>
        </w:rPr>
        <w:t>a</w:t>
      </w:r>
      <w:proofErr w:type="gramEnd"/>
      <w:r w:rsidRPr="00EA23D6">
        <w:rPr>
          <w:rFonts w:ascii="Calibri" w:hAnsi="Calibri" w:cs="Calibri"/>
          <w:sz w:val="22"/>
          <w:szCs w:val="22"/>
        </w:rPr>
        <w:t xml:space="preserve"> MNE </w:t>
      </w:r>
      <w:r w:rsidR="00B70376">
        <w:rPr>
          <w:rFonts w:ascii="Calibri" w:hAnsi="Calibri" w:cs="Calibri"/>
          <w:sz w:val="22"/>
          <w:szCs w:val="22"/>
        </w:rPr>
        <w:t xml:space="preserve">group </w:t>
      </w:r>
      <w:r w:rsidRPr="00EA23D6">
        <w:rPr>
          <w:rFonts w:ascii="Calibri" w:hAnsi="Calibri" w:cs="Calibri"/>
          <w:sz w:val="22"/>
          <w:szCs w:val="22"/>
        </w:rPr>
        <w:t>structure</w:t>
      </w:r>
      <w:r w:rsidR="005C1188">
        <w:rPr>
          <w:rFonts w:ascii="Calibri" w:hAnsi="Calibri" w:cs="Calibri"/>
          <w:sz w:val="22"/>
          <w:szCs w:val="22"/>
        </w:rPr>
        <w:t>,</w:t>
      </w:r>
    </w:p>
    <w:p w14:paraId="01B19AD3" w14:textId="77777777" w:rsidR="00411D4E" w:rsidRPr="00EA23D6" w:rsidRDefault="00411D4E" w:rsidP="005B148E">
      <w:pPr>
        <w:pStyle w:val="Listenabsatz"/>
        <w:numPr>
          <w:ilvl w:val="0"/>
          <w:numId w:val="27"/>
        </w:numPr>
        <w:suppressAutoHyphens/>
        <w:spacing w:before="0" w:after="200" w:line="276" w:lineRule="auto"/>
        <w:jc w:val="left"/>
        <w:rPr>
          <w:rFonts w:ascii="Calibri" w:hAnsi="Calibri" w:cs="Calibri"/>
          <w:sz w:val="22"/>
          <w:szCs w:val="22"/>
        </w:rPr>
      </w:pPr>
      <w:r w:rsidRPr="00EA23D6">
        <w:rPr>
          <w:rFonts w:ascii="Calibri" w:hAnsi="Calibri" w:cs="Calibri"/>
          <w:sz w:val="22"/>
          <w:szCs w:val="22"/>
        </w:rPr>
        <w:t xml:space="preserve">Number of layers in the ownership structure (number of mother companies for the lowest LEU in the structure) </w:t>
      </w:r>
    </w:p>
    <w:p w14:paraId="158D5225" w14:textId="77777777" w:rsidR="00411D4E" w:rsidRPr="00F620A4" w:rsidRDefault="00411D4E" w:rsidP="00411D4E">
      <w:pPr>
        <w:pStyle w:val="Listenabsatz"/>
        <w:ind w:left="1080"/>
      </w:pPr>
    </w:p>
    <w:p w14:paraId="6994FF7A" w14:textId="77777777" w:rsidR="00411D4E" w:rsidRPr="00EA23D6" w:rsidRDefault="00411D4E" w:rsidP="007B45E6">
      <w:pPr>
        <w:pStyle w:val="Listenabsatz"/>
        <w:numPr>
          <w:ilvl w:val="0"/>
          <w:numId w:val="14"/>
        </w:numPr>
        <w:spacing w:before="0" w:after="160" w:line="259" w:lineRule="auto"/>
        <w:jc w:val="left"/>
        <w:rPr>
          <w:rFonts w:ascii="Calibri" w:hAnsi="Calibri" w:cs="Calibri"/>
          <w:sz w:val="22"/>
          <w:szCs w:val="22"/>
        </w:rPr>
      </w:pPr>
      <w:r w:rsidRPr="00EA23D6">
        <w:rPr>
          <w:rFonts w:ascii="Calibri" w:hAnsi="Calibri" w:cs="Calibri"/>
          <w:sz w:val="22"/>
          <w:szCs w:val="22"/>
        </w:rPr>
        <w:t>Problematic cases</w:t>
      </w:r>
    </w:p>
    <w:p w14:paraId="1419D858" w14:textId="51F01CF4" w:rsidR="00411D4E" w:rsidRPr="00EA23D6" w:rsidRDefault="00D7091E" w:rsidP="00411D4E">
      <w:pPr>
        <w:ind w:left="360"/>
        <w:rPr>
          <w:rFonts w:cs="Calibri"/>
          <w:lang w:val="en-GB"/>
        </w:rPr>
      </w:pPr>
      <w:r w:rsidRPr="00EA23D6">
        <w:rPr>
          <w:rFonts w:cs="Calibri"/>
          <w:lang w:val="en-GB"/>
        </w:rPr>
        <w:t xml:space="preserve">One (or a combination) of the following </w:t>
      </w:r>
      <w:r>
        <w:rPr>
          <w:rFonts w:cs="Calibri"/>
          <w:lang w:val="en-GB"/>
        </w:rPr>
        <w:t>variables</w:t>
      </w:r>
      <w:r w:rsidRPr="00EA23D6">
        <w:rPr>
          <w:rFonts w:cs="Calibri"/>
          <w:lang w:val="en-GB"/>
        </w:rPr>
        <w:t xml:space="preserve"> can </w:t>
      </w:r>
      <w:r>
        <w:rPr>
          <w:rFonts w:cs="Calibri"/>
          <w:lang w:val="en-GB"/>
        </w:rPr>
        <w:t>be used for</w:t>
      </w:r>
      <w:r w:rsidRPr="00EA23D6">
        <w:rPr>
          <w:rFonts w:cs="Calibri"/>
          <w:lang w:val="en-GB"/>
        </w:rPr>
        <w:t xml:space="preserve"> this criterion</w:t>
      </w:r>
      <w:r w:rsidR="00411D4E" w:rsidRPr="00EA23D6">
        <w:rPr>
          <w:rFonts w:cs="Calibri"/>
          <w:lang w:val="en-GB"/>
        </w:rPr>
        <w:t>:</w:t>
      </w:r>
    </w:p>
    <w:p w14:paraId="3E8D6676" w14:textId="77777777" w:rsidR="00411D4E" w:rsidRPr="00EA23D6" w:rsidRDefault="00411D4E" w:rsidP="005B148E">
      <w:pPr>
        <w:pStyle w:val="Listenabsatz"/>
        <w:numPr>
          <w:ilvl w:val="0"/>
          <w:numId w:val="26"/>
        </w:numPr>
        <w:suppressAutoHyphens/>
        <w:spacing w:before="0" w:after="200" w:line="276" w:lineRule="auto"/>
        <w:jc w:val="left"/>
        <w:rPr>
          <w:rFonts w:ascii="Calibri" w:hAnsi="Calibri" w:cs="Calibri"/>
          <w:sz w:val="22"/>
          <w:szCs w:val="22"/>
        </w:rPr>
      </w:pPr>
      <w:r w:rsidRPr="00EA23D6">
        <w:rPr>
          <w:rFonts w:ascii="Calibri" w:hAnsi="Calibri" w:cs="Calibri"/>
          <w:sz w:val="22"/>
          <w:szCs w:val="22"/>
        </w:rPr>
        <w:t>Complicated and/or frequently changing ownership structure</w:t>
      </w:r>
      <w:r w:rsidR="005C1188">
        <w:rPr>
          <w:rFonts w:ascii="Calibri" w:hAnsi="Calibri" w:cs="Calibri"/>
          <w:sz w:val="22"/>
          <w:szCs w:val="22"/>
        </w:rPr>
        <w:t>,</w:t>
      </w:r>
    </w:p>
    <w:p w14:paraId="51A08313" w14:textId="77777777" w:rsidR="00411D4E" w:rsidRPr="00EA23D6" w:rsidRDefault="00411D4E" w:rsidP="005B148E">
      <w:pPr>
        <w:pStyle w:val="Listenabsatz"/>
        <w:numPr>
          <w:ilvl w:val="0"/>
          <w:numId w:val="26"/>
        </w:numPr>
        <w:suppressAutoHyphens/>
        <w:spacing w:before="0" w:after="200" w:line="276" w:lineRule="auto"/>
        <w:jc w:val="left"/>
        <w:rPr>
          <w:rFonts w:ascii="Calibri" w:hAnsi="Calibri" w:cs="Calibri"/>
          <w:sz w:val="22"/>
          <w:szCs w:val="22"/>
        </w:rPr>
      </w:pPr>
      <w:r w:rsidRPr="00EA23D6">
        <w:rPr>
          <w:rFonts w:ascii="Calibri" w:hAnsi="Calibri" w:cs="Calibri"/>
          <w:sz w:val="22"/>
          <w:szCs w:val="22"/>
        </w:rPr>
        <w:lastRenderedPageBreak/>
        <w:t>Complicated and/or frequently changing “global production” arrangements (such as Factory-less production, diverse I</w:t>
      </w:r>
      <w:r w:rsidR="00D60255">
        <w:rPr>
          <w:rFonts w:ascii="Calibri" w:hAnsi="Calibri" w:cs="Calibri"/>
          <w:sz w:val="22"/>
          <w:szCs w:val="22"/>
        </w:rPr>
        <w:t>ntellectual Property</w:t>
      </w:r>
      <w:r w:rsidR="009C7168">
        <w:rPr>
          <w:rFonts w:ascii="Calibri" w:hAnsi="Calibri" w:cs="Calibri"/>
          <w:sz w:val="22"/>
          <w:szCs w:val="22"/>
        </w:rPr>
        <w:t xml:space="preserve"> Products</w:t>
      </w:r>
      <w:r w:rsidR="009C7168">
        <w:rPr>
          <w:rStyle w:val="Funotenzeichen"/>
          <w:rFonts w:ascii="Calibri" w:hAnsi="Calibri" w:cs="Calibri"/>
          <w:sz w:val="22"/>
          <w:szCs w:val="22"/>
        </w:rPr>
        <w:footnoteReference w:id="2"/>
      </w:r>
      <w:r w:rsidRPr="00EA23D6">
        <w:rPr>
          <w:rFonts w:ascii="Calibri" w:hAnsi="Calibri" w:cs="Calibri"/>
          <w:sz w:val="22"/>
          <w:szCs w:val="22"/>
        </w:rPr>
        <w:t xml:space="preserve"> ownership, cross border branches).</w:t>
      </w:r>
    </w:p>
    <w:p w14:paraId="15D15150" w14:textId="63E99871" w:rsidR="00286626" w:rsidRPr="00F620A4" w:rsidRDefault="00411D4E" w:rsidP="007C30B1">
      <w:pPr>
        <w:jc w:val="both"/>
        <w:rPr>
          <w:szCs w:val="24"/>
          <w:lang w:val="en-GB"/>
        </w:rPr>
      </w:pPr>
      <w:r w:rsidRPr="00F620A4">
        <w:rPr>
          <w:szCs w:val="24"/>
          <w:lang w:val="en-GB"/>
        </w:rPr>
        <w:t xml:space="preserve">The first attempts to translate </w:t>
      </w:r>
      <w:r w:rsidR="003F2C82">
        <w:rPr>
          <w:szCs w:val="24"/>
          <w:lang w:val="en-GB"/>
        </w:rPr>
        <w:t xml:space="preserve">the </w:t>
      </w:r>
      <w:r w:rsidRPr="00F620A4">
        <w:rPr>
          <w:szCs w:val="24"/>
          <w:lang w:val="en-GB"/>
        </w:rPr>
        <w:t xml:space="preserve">above criteria in useable and meaningful results demonstrated that a </w:t>
      </w:r>
      <w:r w:rsidR="005C1188">
        <w:rPr>
          <w:szCs w:val="24"/>
          <w:lang w:val="en-GB"/>
        </w:rPr>
        <w:t>C</w:t>
      </w:r>
      <w:r w:rsidRPr="00F620A4">
        <w:rPr>
          <w:szCs w:val="24"/>
          <w:lang w:val="en-GB"/>
        </w:rPr>
        <w:t xml:space="preserve">omplexity and </w:t>
      </w:r>
      <w:r w:rsidR="005C1188">
        <w:rPr>
          <w:szCs w:val="24"/>
          <w:lang w:val="en-GB"/>
        </w:rPr>
        <w:t>S</w:t>
      </w:r>
      <w:r w:rsidRPr="00F620A4">
        <w:rPr>
          <w:szCs w:val="24"/>
          <w:lang w:val="en-GB"/>
        </w:rPr>
        <w:t xml:space="preserve">tatistical </w:t>
      </w:r>
      <w:r w:rsidR="005C1188">
        <w:rPr>
          <w:szCs w:val="24"/>
          <w:lang w:val="en-GB"/>
        </w:rPr>
        <w:t>I</w:t>
      </w:r>
      <w:r w:rsidRPr="00F620A4">
        <w:rPr>
          <w:szCs w:val="24"/>
          <w:lang w:val="en-GB"/>
        </w:rPr>
        <w:t>mpact (CSI) index can be calculated by ranking the EGR population using the following variables:</w:t>
      </w:r>
    </w:p>
    <w:p w14:paraId="1A2922A3" w14:textId="77777777" w:rsidR="00286626" w:rsidRPr="00F620A4" w:rsidRDefault="00411D4E" w:rsidP="005B148E">
      <w:pPr>
        <w:numPr>
          <w:ilvl w:val="0"/>
          <w:numId w:val="25"/>
        </w:numPr>
        <w:spacing w:after="0"/>
        <w:ind w:left="720" w:hanging="360"/>
        <w:rPr>
          <w:szCs w:val="24"/>
          <w:lang w:val="en-GB"/>
        </w:rPr>
      </w:pPr>
      <w:r w:rsidRPr="00F620A4">
        <w:rPr>
          <w:szCs w:val="24"/>
          <w:lang w:val="en-GB"/>
        </w:rPr>
        <w:t>Number of legal units</w:t>
      </w:r>
      <w:r w:rsidR="005C1188">
        <w:rPr>
          <w:szCs w:val="24"/>
          <w:lang w:val="en-GB"/>
        </w:rPr>
        <w:t>,</w:t>
      </w:r>
    </w:p>
    <w:p w14:paraId="37228003" w14:textId="77777777" w:rsidR="00286626" w:rsidRPr="00F620A4" w:rsidRDefault="00411D4E" w:rsidP="005B148E">
      <w:pPr>
        <w:numPr>
          <w:ilvl w:val="0"/>
          <w:numId w:val="25"/>
        </w:numPr>
        <w:spacing w:after="0"/>
        <w:ind w:left="720" w:hanging="360"/>
        <w:rPr>
          <w:szCs w:val="24"/>
          <w:lang w:val="en-GB"/>
        </w:rPr>
      </w:pPr>
      <w:r w:rsidRPr="00F620A4">
        <w:rPr>
          <w:szCs w:val="24"/>
          <w:lang w:val="en-GB"/>
        </w:rPr>
        <w:t>Number of NACE codes</w:t>
      </w:r>
      <w:r w:rsidR="005C1188">
        <w:rPr>
          <w:szCs w:val="24"/>
          <w:lang w:val="en-GB"/>
        </w:rPr>
        <w:t>,</w:t>
      </w:r>
    </w:p>
    <w:p w14:paraId="4195C0CA" w14:textId="77777777" w:rsidR="00286626" w:rsidRPr="00F620A4" w:rsidRDefault="00411D4E" w:rsidP="005B148E">
      <w:pPr>
        <w:numPr>
          <w:ilvl w:val="0"/>
          <w:numId w:val="25"/>
        </w:numPr>
        <w:spacing w:after="0"/>
        <w:ind w:left="720" w:hanging="360"/>
        <w:rPr>
          <w:szCs w:val="24"/>
          <w:lang w:val="en-GB"/>
        </w:rPr>
      </w:pPr>
      <w:r w:rsidRPr="00F620A4">
        <w:rPr>
          <w:szCs w:val="24"/>
          <w:lang w:val="en-GB"/>
        </w:rPr>
        <w:t>Number of cross border relations (as number of countries with active units)</w:t>
      </w:r>
      <w:r w:rsidR="005C1188">
        <w:rPr>
          <w:szCs w:val="24"/>
          <w:lang w:val="en-GB"/>
        </w:rPr>
        <w:t>,</w:t>
      </w:r>
    </w:p>
    <w:p w14:paraId="2911ED16" w14:textId="77777777" w:rsidR="00286626" w:rsidRDefault="00411D4E" w:rsidP="005B148E">
      <w:pPr>
        <w:numPr>
          <w:ilvl w:val="0"/>
          <w:numId w:val="25"/>
        </w:numPr>
        <w:spacing w:after="0"/>
        <w:ind w:left="720" w:hanging="360"/>
        <w:rPr>
          <w:szCs w:val="24"/>
          <w:lang w:val="en-GB"/>
        </w:rPr>
      </w:pPr>
      <w:r w:rsidRPr="00F620A4">
        <w:rPr>
          <w:szCs w:val="24"/>
          <w:lang w:val="en-GB"/>
        </w:rPr>
        <w:t>Number of employees</w:t>
      </w:r>
      <w:r w:rsidR="005C1188">
        <w:rPr>
          <w:szCs w:val="24"/>
          <w:lang w:val="en-GB"/>
        </w:rPr>
        <w:t>,</w:t>
      </w:r>
    </w:p>
    <w:p w14:paraId="2FC12774" w14:textId="77777777" w:rsidR="005C1188" w:rsidRDefault="005C1188" w:rsidP="005B148E">
      <w:pPr>
        <w:numPr>
          <w:ilvl w:val="0"/>
          <w:numId w:val="25"/>
        </w:numPr>
        <w:spacing w:after="0"/>
        <w:ind w:left="720" w:hanging="360"/>
        <w:rPr>
          <w:szCs w:val="24"/>
          <w:lang w:val="en-GB"/>
        </w:rPr>
      </w:pPr>
      <w:r>
        <w:rPr>
          <w:szCs w:val="24"/>
          <w:lang w:val="en-GB"/>
        </w:rPr>
        <w:t>Number of employees in largest LEU,</w:t>
      </w:r>
    </w:p>
    <w:p w14:paraId="20136B67" w14:textId="77777777" w:rsidR="005C1188" w:rsidRDefault="005C1188" w:rsidP="005B148E">
      <w:pPr>
        <w:numPr>
          <w:ilvl w:val="0"/>
          <w:numId w:val="25"/>
        </w:numPr>
        <w:spacing w:after="0"/>
        <w:ind w:left="720" w:hanging="360"/>
        <w:rPr>
          <w:szCs w:val="24"/>
          <w:lang w:val="en-GB"/>
        </w:rPr>
      </w:pPr>
      <w:r>
        <w:rPr>
          <w:szCs w:val="24"/>
          <w:lang w:val="en-GB"/>
        </w:rPr>
        <w:t>Number of ownership layers (operationali</w:t>
      </w:r>
      <w:r w:rsidR="00B70376">
        <w:rPr>
          <w:szCs w:val="24"/>
          <w:lang w:val="en-GB"/>
        </w:rPr>
        <w:t>s</w:t>
      </w:r>
      <w:r>
        <w:rPr>
          <w:szCs w:val="24"/>
          <w:lang w:val="en-GB"/>
        </w:rPr>
        <w:t>ed as number of parents of lowest level unit).</w:t>
      </w:r>
    </w:p>
    <w:p w14:paraId="240C153A" w14:textId="77777777" w:rsidR="005C1188" w:rsidRPr="00F620A4" w:rsidRDefault="005C1188" w:rsidP="005C1188">
      <w:pPr>
        <w:spacing w:after="0"/>
        <w:ind w:left="720"/>
        <w:rPr>
          <w:szCs w:val="24"/>
          <w:lang w:val="en-GB"/>
        </w:rPr>
      </w:pPr>
    </w:p>
    <w:p w14:paraId="7E971E7E" w14:textId="2768548B" w:rsidR="00411D4E" w:rsidRPr="00F620A4" w:rsidRDefault="00411D4E" w:rsidP="007C30B1">
      <w:pPr>
        <w:jc w:val="both"/>
        <w:rPr>
          <w:szCs w:val="24"/>
          <w:lang w:val="en-GB"/>
        </w:rPr>
      </w:pPr>
      <w:r w:rsidRPr="00F620A4">
        <w:rPr>
          <w:szCs w:val="24"/>
          <w:lang w:val="en-GB"/>
        </w:rPr>
        <w:t xml:space="preserve">The </w:t>
      </w:r>
      <w:r w:rsidR="003F2C82">
        <w:rPr>
          <w:szCs w:val="24"/>
          <w:lang w:val="en-GB"/>
        </w:rPr>
        <w:t xml:space="preserve">target was to cover the </w:t>
      </w:r>
      <w:r w:rsidR="001C7D48" w:rsidRPr="001C7D48">
        <w:rPr>
          <w:rFonts w:cs="Calibri"/>
          <w:lang w:val="en-GB"/>
        </w:rPr>
        <w:t>Top-tier</w:t>
      </w:r>
      <w:r w:rsidR="00125134">
        <w:rPr>
          <w:szCs w:val="24"/>
          <w:lang w:val="en-GB"/>
        </w:rPr>
        <w:t xml:space="preserve"> MNE </w:t>
      </w:r>
      <w:r w:rsidR="001C7D48">
        <w:rPr>
          <w:szCs w:val="24"/>
          <w:lang w:val="en-GB"/>
        </w:rPr>
        <w:t xml:space="preserve">groups </w:t>
      </w:r>
      <w:r w:rsidR="001C7D48" w:rsidRPr="00F620A4">
        <w:rPr>
          <w:szCs w:val="24"/>
          <w:lang w:val="en-GB"/>
        </w:rPr>
        <w:t>responsible</w:t>
      </w:r>
      <w:r w:rsidR="003F2C82">
        <w:rPr>
          <w:szCs w:val="24"/>
          <w:lang w:val="en-GB"/>
        </w:rPr>
        <w:t xml:space="preserve"> for at least </w:t>
      </w:r>
      <w:r w:rsidRPr="00F620A4">
        <w:rPr>
          <w:szCs w:val="24"/>
          <w:lang w:val="en-GB"/>
        </w:rPr>
        <w:t>5% of the total EGR population.</w:t>
      </w:r>
    </w:p>
    <w:p w14:paraId="0679D278" w14:textId="3D01566A" w:rsidR="005C1188" w:rsidRDefault="00411D4E" w:rsidP="007C30B1">
      <w:pPr>
        <w:jc w:val="both"/>
        <w:rPr>
          <w:lang w:val="en-GB"/>
        </w:rPr>
      </w:pPr>
      <w:r w:rsidRPr="00F620A4">
        <w:rPr>
          <w:lang w:val="en-GB"/>
        </w:rPr>
        <w:t xml:space="preserve">The selection of the Top-tier </w:t>
      </w:r>
      <w:r w:rsidR="00D7091E">
        <w:rPr>
          <w:lang w:val="en-GB"/>
        </w:rPr>
        <w:t xml:space="preserve">MNE </w:t>
      </w:r>
      <w:r w:rsidRPr="00F620A4">
        <w:rPr>
          <w:lang w:val="en-GB"/>
        </w:rPr>
        <w:t>groups based on th</w:t>
      </w:r>
      <w:r w:rsidR="003F2C82">
        <w:rPr>
          <w:lang w:val="en-GB"/>
        </w:rPr>
        <w:t>is</w:t>
      </w:r>
      <w:r w:rsidRPr="00F620A4">
        <w:rPr>
          <w:lang w:val="en-GB"/>
        </w:rPr>
        <w:t xml:space="preserve"> initial version of the CSI index, </w:t>
      </w:r>
      <w:r w:rsidR="00A63E2C">
        <w:rPr>
          <w:lang w:val="en-GB"/>
        </w:rPr>
        <w:t>is</w:t>
      </w:r>
      <w:r w:rsidRPr="00F620A4">
        <w:rPr>
          <w:lang w:val="en-GB"/>
        </w:rPr>
        <w:t xml:space="preserve"> constructed on</w:t>
      </w:r>
      <w:r w:rsidR="00BD1F0A" w:rsidRPr="00F620A4">
        <w:rPr>
          <w:lang w:val="en-GB"/>
        </w:rPr>
        <w:t xml:space="preserve"> </w:t>
      </w:r>
      <w:r w:rsidRPr="00F620A4">
        <w:rPr>
          <w:lang w:val="en-GB"/>
        </w:rPr>
        <w:t xml:space="preserve">the following principles: </w:t>
      </w:r>
    </w:p>
    <w:p w14:paraId="0A8C0177" w14:textId="775D0702" w:rsidR="005C1188" w:rsidRDefault="005C1188" w:rsidP="007C30B1">
      <w:pPr>
        <w:pStyle w:val="Listenabsatz"/>
        <w:numPr>
          <w:ilvl w:val="0"/>
          <w:numId w:val="24"/>
        </w:numPr>
        <w:spacing w:before="0" w:after="240"/>
        <w:ind w:hanging="360"/>
        <w:rPr>
          <w:rFonts w:ascii="Calibri" w:hAnsi="Calibri" w:cs="Calibri"/>
          <w:sz w:val="22"/>
          <w:szCs w:val="22"/>
        </w:rPr>
      </w:pPr>
      <w:r>
        <w:rPr>
          <w:rFonts w:ascii="Calibri" w:hAnsi="Calibri" w:cs="Calibri"/>
          <w:sz w:val="22"/>
          <w:szCs w:val="22"/>
        </w:rPr>
        <w:t xml:space="preserve">It allows groups </w:t>
      </w:r>
      <w:r w:rsidRPr="00EA23D6">
        <w:rPr>
          <w:rFonts w:ascii="Calibri" w:hAnsi="Calibri" w:cs="Calibri"/>
          <w:sz w:val="22"/>
          <w:szCs w:val="22"/>
        </w:rPr>
        <w:t xml:space="preserve">to be classified into 75 classes. The index has 10 classes for each variable, except for EU employment where we divide into 25 classes </w:t>
      </w:r>
      <w:r w:rsidR="00125134">
        <w:rPr>
          <w:rFonts w:ascii="Calibri" w:hAnsi="Calibri" w:cs="Calibri"/>
          <w:sz w:val="22"/>
          <w:szCs w:val="22"/>
        </w:rPr>
        <w:t xml:space="preserve">in order </w:t>
      </w:r>
      <w:r w:rsidRPr="00EA23D6">
        <w:rPr>
          <w:rFonts w:ascii="Calibri" w:hAnsi="Calibri" w:cs="Calibri"/>
          <w:sz w:val="22"/>
          <w:szCs w:val="22"/>
        </w:rPr>
        <w:t>to give more importance</w:t>
      </w:r>
      <w:r w:rsidR="00125134">
        <w:rPr>
          <w:rFonts w:ascii="Calibri" w:hAnsi="Calibri" w:cs="Calibri"/>
          <w:sz w:val="22"/>
          <w:szCs w:val="22"/>
        </w:rPr>
        <w:t xml:space="preserve"> to it</w:t>
      </w:r>
      <w:r>
        <w:rPr>
          <w:rFonts w:ascii="Calibri" w:hAnsi="Calibri" w:cs="Calibri"/>
          <w:sz w:val="22"/>
          <w:szCs w:val="22"/>
        </w:rPr>
        <w:t>.</w:t>
      </w:r>
    </w:p>
    <w:p w14:paraId="3820EABA" w14:textId="77777777" w:rsidR="00183E73" w:rsidRDefault="00183E73" w:rsidP="007C30B1">
      <w:pPr>
        <w:pStyle w:val="Listenabsatz"/>
        <w:numPr>
          <w:ilvl w:val="0"/>
          <w:numId w:val="24"/>
        </w:numPr>
        <w:spacing w:before="0" w:after="240"/>
        <w:ind w:hanging="360"/>
        <w:rPr>
          <w:rFonts w:ascii="Calibri" w:hAnsi="Calibri" w:cs="Calibri"/>
          <w:sz w:val="22"/>
          <w:szCs w:val="22"/>
        </w:rPr>
      </w:pPr>
      <w:r w:rsidRPr="00F620A4">
        <w:rPr>
          <w:rFonts w:ascii="Calibri" w:hAnsi="Calibri" w:cs="Calibri"/>
          <w:sz w:val="22"/>
          <w:szCs w:val="22"/>
        </w:rPr>
        <w:t>For each variable, we order and assign 10 points (25 points for EU employment) to all the groups belonging to the last sub-group (9 points for the penultimate and so on (24 in the case of EU employment)); finally, we add up all the points to give a weight to each group.</w:t>
      </w:r>
    </w:p>
    <w:p w14:paraId="61D9B9C2" w14:textId="6880109E" w:rsidR="005C1188" w:rsidRPr="00EA23D6" w:rsidRDefault="000C1744" w:rsidP="007C30B1">
      <w:pPr>
        <w:pStyle w:val="Listenabsatz"/>
        <w:numPr>
          <w:ilvl w:val="0"/>
          <w:numId w:val="24"/>
        </w:numPr>
        <w:spacing w:before="0" w:after="240"/>
        <w:ind w:hanging="360"/>
        <w:rPr>
          <w:rFonts w:ascii="Calibri" w:hAnsi="Calibri" w:cs="Calibri"/>
          <w:sz w:val="22"/>
          <w:szCs w:val="22"/>
        </w:rPr>
      </w:pPr>
      <w:r>
        <w:rPr>
          <w:rFonts w:ascii="Calibri" w:hAnsi="Calibri" w:cs="Calibri"/>
          <w:sz w:val="22"/>
          <w:szCs w:val="22"/>
        </w:rPr>
        <w:t>The</w:t>
      </w:r>
      <w:r w:rsidR="001C7D48">
        <w:rPr>
          <w:rFonts w:ascii="Calibri" w:hAnsi="Calibri" w:cs="Calibri"/>
          <w:sz w:val="22"/>
          <w:szCs w:val="22"/>
        </w:rPr>
        <w:t xml:space="preserve"> </w:t>
      </w:r>
      <w:r w:rsidR="005C1188">
        <w:rPr>
          <w:rFonts w:ascii="Calibri" w:hAnsi="Calibri" w:cs="Calibri"/>
          <w:sz w:val="22"/>
          <w:szCs w:val="22"/>
        </w:rPr>
        <w:t xml:space="preserve">Top-tier groups </w:t>
      </w:r>
      <w:r>
        <w:rPr>
          <w:rFonts w:ascii="Calibri" w:hAnsi="Calibri" w:cs="Calibri"/>
          <w:sz w:val="22"/>
          <w:szCs w:val="22"/>
        </w:rPr>
        <w:t xml:space="preserve">are </w:t>
      </w:r>
      <w:r w:rsidR="005C1188">
        <w:rPr>
          <w:rFonts w:ascii="Calibri" w:hAnsi="Calibri" w:cs="Calibri"/>
          <w:sz w:val="22"/>
          <w:szCs w:val="22"/>
        </w:rPr>
        <w:t>the ones having 75 points.</w:t>
      </w:r>
    </w:p>
    <w:p w14:paraId="78B83FA9" w14:textId="77777777" w:rsidR="00411D4E" w:rsidRPr="00EA23D6" w:rsidRDefault="00411D4E" w:rsidP="005C1188">
      <w:pPr>
        <w:pStyle w:val="Listenabsatz"/>
        <w:spacing w:before="0" w:after="240"/>
        <w:rPr>
          <w:rFonts w:ascii="Calibri" w:hAnsi="Calibri" w:cs="Calibri"/>
          <w:sz w:val="22"/>
          <w:szCs w:val="22"/>
        </w:rPr>
      </w:pPr>
    </w:p>
    <w:p w14:paraId="74D40843" w14:textId="6D2D9D78" w:rsidR="00411D4E" w:rsidRPr="00F620A4" w:rsidRDefault="00411D4E" w:rsidP="007C30B1">
      <w:pPr>
        <w:jc w:val="both"/>
        <w:rPr>
          <w:szCs w:val="24"/>
          <w:lang w:val="en-GB"/>
        </w:rPr>
      </w:pPr>
      <w:r w:rsidRPr="00F620A4">
        <w:rPr>
          <w:szCs w:val="24"/>
          <w:lang w:val="en-GB"/>
        </w:rPr>
        <w:t>Applying th</w:t>
      </w:r>
      <w:r w:rsidR="00125134">
        <w:rPr>
          <w:szCs w:val="24"/>
          <w:lang w:val="en-GB"/>
        </w:rPr>
        <w:t>is initial</w:t>
      </w:r>
      <w:r w:rsidRPr="00F620A4">
        <w:rPr>
          <w:szCs w:val="24"/>
          <w:lang w:val="en-GB"/>
        </w:rPr>
        <w:t xml:space="preserve"> CSI index to the EGR population for the reference year 2020, resulted in</w:t>
      </w:r>
      <w:r w:rsidR="003F2C82">
        <w:rPr>
          <w:szCs w:val="24"/>
          <w:lang w:val="en-GB"/>
        </w:rPr>
        <w:t xml:space="preserve"> </w:t>
      </w:r>
      <w:r w:rsidR="001A2FE6">
        <w:rPr>
          <w:szCs w:val="24"/>
          <w:lang w:val="en-GB"/>
        </w:rPr>
        <w:t>a selection</w:t>
      </w:r>
      <w:r w:rsidR="003F2C82">
        <w:rPr>
          <w:szCs w:val="24"/>
          <w:lang w:val="en-GB"/>
        </w:rPr>
        <w:t xml:space="preserve"> of</w:t>
      </w:r>
      <w:r w:rsidRPr="00F620A4">
        <w:rPr>
          <w:szCs w:val="24"/>
          <w:lang w:val="en-GB"/>
        </w:rPr>
        <w:t xml:space="preserve"> </w:t>
      </w:r>
      <w:r w:rsidRPr="00F620A4">
        <w:rPr>
          <w:szCs w:val="24"/>
          <w:u w:val="single"/>
          <w:lang w:val="en-GB"/>
        </w:rPr>
        <w:t xml:space="preserve">2,365 </w:t>
      </w:r>
      <w:r w:rsidR="003F2C82">
        <w:rPr>
          <w:szCs w:val="24"/>
          <w:u w:val="single"/>
          <w:lang w:val="en-GB"/>
        </w:rPr>
        <w:t xml:space="preserve">MNE </w:t>
      </w:r>
      <w:r w:rsidRPr="00F620A4">
        <w:rPr>
          <w:szCs w:val="24"/>
          <w:u w:val="single"/>
          <w:lang w:val="en-GB"/>
        </w:rPr>
        <w:t>groups</w:t>
      </w:r>
      <w:r w:rsidRPr="00F620A4">
        <w:rPr>
          <w:szCs w:val="24"/>
          <w:lang w:val="en-GB"/>
        </w:rPr>
        <w:t xml:space="preserve"> (</w:t>
      </w:r>
      <w:r w:rsidR="003F2C82">
        <w:rPr>
          <w:szCs w:val="24"/>
          <w:lang w:val="en-GB"/>
        </w:rPr>
        <w:t xml:space="preserve">equal to </w:t>
      </w:r>
      <w:r w:rsidRPr="00F620A4">
        <w:rPr>
          <w:szCs w:val="24"/>
          <w:lang w:val="en-GB"/>
        </w:rPr>
        <w:t>around 2% of MNE</w:t>
      </w:r>
      <w:r w:rsidR="00E07A7C">
        <w:rPr>
          <w:szCs w:val="24"/>
          <w:lang w:val="en-GB"/>
        </w:rPr>
        <w:t xml:space="preserve"> group</w:t>
      </w:r>
      <w:r w:rsidRPr="00F620A4">
        <w:rPr>
          <w:szCs w:val="24"/>
          <w:lang w:val="en-GB"/>
        </w:rPr>
        <w:t>s</w:t>
      </w:r>
      <w:r w:rsidR="003F2C82">
        <w:rPr>
          <w:szCs w:val="24"/>
          <w:lang w:val="en-GB"/>
        </w:rPr>
        <w:t xml:space="preserve"> in EGR</w:t>
      </w:r>
      <w:r w:rsidRPr="00F620A4">
        <w:rPr>
          <w:szCs w:val="24"/>
          <w:lang w:val="en-GB"/>
        </w:rPr>
        <w:t xml:space="preserve">, </w:t>
      </w:r>
      <w:r w:rsidR="000C1744">
        <w:rPr>
          <w:szCs w:val="24"/>
          <w:lang w:val="en-GB"/>
        </w:rPr>
        <w:t xml:space="preserve">which are </w:t>
      </w:r>
      <w:r w:rsidRPr="00F620A4">
        <w:rPr>
          <w:szCs w:val="24"/>
          <w:lang w:val="en-GB"/>
        </w:rPr>
        <w:t>less than th</w:t>
      </w:r>
      <w:r w:rsidR="00903141">
        <w:rPr>
          <w:szCs w:val="24"/>
          <w:lang w:val="en-GB"/>
        </w:rPr>
        <w:t>e</w:t>
      </w:r>
      <w:r w:rsidRPr="00F620A4">
        <w:rPr>
          <w:szCs w:val="24"/>
          <w:lang w:val="en-GB"/>
        </w:rPr>
        <w:t xml:space="preserve"> 5</w:t>
      </w:r>
      <w:r w:rsidR="001C7D48" w:rsidRPr="00F620A4">
        <w:rPr>
          <w:szCs w:val="24"/>
          <w:lang w:val="en-GB"/>
        </w:rPr>
        <w:t>%</w:t>
      </w:r>
      <w:r w:rsidR="001C7D48">
        <w:rPr>
          <w:szCs w:val="24"/>
          <w:lang w:val="en-GB"/>
        </w:rPr>
        <w:t xml:space="preserve"> of</w:t>
      </w:r>
      <w:r w:rsidR="000C1744">
        <w:rPr>
          <w:szCs w:val="24"/>
          <w:lang w:val="en-GB"/>
        </w:rPr>
        <w:t xml:space="preserve"> the total population however they are the </w:t>
      </w:r>
      <w:r w:rsidR="00903141">
        <w:rPr>
          <w:szCs w:val="24"/>
          <w:lang w:val="en-GB"/>
        </w:rPr>
        <w:t>statistically significant ones</w:t>
      </w:r>
      <w:r w:rsidRPr="00F620A4">
        <w:rPr>
          <w:szCs w:val="24"/>
          <w:lang w:val="en-GB"/>
        </w:rPr>
        <w:t>)</w:t>
      </w:r>
      <w:r w:rsidR="003F2C82">
        <w:rPr>
          <w:szCs w:val="24"/>
          <w:lang w:val="en-GB"/>
        </w:rPr>
        <w:t>. B</w:t>
      </w:r>
      <w:r w:rsidR="00125134">
        <w:rPr>
          <w:szCs w:val="24"/>
          <w:lang w:val="en-GB"/>
        </w:rPr>
        <w:t xml:space="preserve">y </w:t>
      </w:r>
      <w:r w:rsidRPr="00F620A4">
        <w:rPr>
          <w:szCs w:val="24"/>
          <w:lang w:val="en-GB"/>
        </w:rPr>
        <w:t xml:space="preserve">applying it </w:t>
      </w:r>
      <w:r w:rsidR="00125134">
        <w:rPr>
          <w:szCs w:val="24"/>
          <w:lang w:val="en-GB"/>
        </w:rPr>
        <w:t xml:space="preserve">to the MNE groups population </w:t>
      </w:r>
      <w:r w:rsidRPr="00F620A4">
        <w:rPr>
          <w:szCs w:val="24"/>
          <w:lang w:val="en-GB"/>
        </w:rPr>
        <w:t>for the reference year 2021, the number increase</w:t>
      </w:r>
      <w:r w:rsidR="000C1744">
        <w:rPr>
          <w:szCs w:val="24"/>
          <w:lang w:val="en-GB"/>
        </w:rPr>
        <w:t>d</w:t>
      </w:r>
      <w:r w:rsidRPr="00F620A4">
        <w:rPr>
          <w:szCs w:val="24"/>
          <w:lang w:val="en-GB"/>
        </w:rPr>
        <w:t xml:space="preserve"> </w:t>
      </w:r>
      <w:r w:rsidRPr="00F620A4">
        <w:rPr>
          <w:szCs w:val="24"/>
          <w:u w:val="single"/>
          <w:lang w:val="en-GB"/>
        </w:rPr>
        <w:t xml:space="preserve">to 2,903 </w:t>
      </w:r>
      <w:r w:rsidR="001C7D48">
        <w:rPr>
          <w:szCs w:val="24"/>
          <w:u w:val="single"/>
          <w:lang w:val="en-GB"/>
        </w:rPr>
        <w:t xml:space="preserve">MNE </w:t>
      </w:r>
      <w:r w:rsidRPr="00F620A4">
        <w:rPr>
          <w:szCs w:val="24"/>
          <w:u w:val="single"/>
          <w:lang w:val="en-GB"/>
        </w:rPr>
        <w:t>groups</w:t>
      </w:r>
      <w:r w:rsidRPr="00F620A4">
        <w:rPr>
          <w:szCs w:val="24"/>
          <w:lang w:val="en-GB"/>
        </w:rPr>
        <w:t>.</w:t>
      </w:r>
      <w:r w:rsidR="00797500">
        <w:rPr>
          <w:szCs w:val="24"/>
          <w:lang w:val="en-GB"/>
        </w:rPr>
        <w:t xml:space="preserve"> </w:t>
      </w:r>
      <w:r w:rsidRPr="00F620A4">
        <w:rPr>
          <w:szCs w:val="24"/>
          <w:lang w:val="en-GB"/>
        </w:rPr>
        <w:t>As th</w:t>
      </w:r>
      <w:r w:rsidR="000C1744">
        <w:rPr>
          <w:szCs w:val="24"/>
          <w:lang w:val="en-GB"/>
        </w:rPr>
        <w:t>is</w:t>
      </w:r>
      <w:r w:rsidRPr="00F620A4">
        <w:rPr>
          <w:szCs w:val="24"/>
          <w:lang w:val="en-GB"/>
        </w:rPr>
        <w:t xml:space="preserve"> number </w:t>
      </w:r>
      <w:r w:rsidR="000C1744">
        <w:rPr>
          <w:szCs w:val="24"/>
          <w:lang w:val="en-GB"/>
        </w:rPr>
        <w:t>was</w:t>
      </w:r>
      <w:r w:rsidR="000C1744" w:rsidRPr="00F620A4">
        <w:rPr>
          <w:szCs w:val="24"/>
          <w:lang w:val="en-GB"/>
        </w:rPr>
        <w:t xml:space="preserve"> </w:t>
      </w:r>
      <w:r w:rsidRPr="00F620A4">
        <w:rPr>
          <w:szCs w:val="24"/>
          <w:lang w:val="en-GB"/>
        </w:rPr>
        <w:t xml:space="preserve">considered </w:t>
      </w:r>
      <w:r w:rsidR="00797500">
        <w:rPr>
          <w:szCs w:val="24"/>
          <w:lang w:val="en-GB"/>
        </w:rPr>
        <w:t>too</w:t>
      </w:r>
      <w:r w:rsidRPr="00F620A4">
        <w:rPr>
          <w:szCs w:val="24"/>
          <w:lang w:val="en-GB"/>
        </w:rPr>
        <w:t xml:space="preserve"> high </w:t>
      </w:r>
      <w:r w:rsidR="00797500">
        <w:rPr>
          <w:szCs w:val="24"/>
          <w:lang w:val="en-GB"/>
        </w:rPr>
        <w:t>by</w:t>
      </w:r>
      <w:r w:rsidR="00125134">
        <w:rPr>
          <w:szCs w:val="24"/>
          <w:lang w:val="en-GB"/>
        </w:rPr>
        <w:t xml:space="preserve"> the</w:t>
      </w:r>
      <w:r w:rsidR="00797500">
        <w:rPr>
          <w:szCs w:val="24"/>
          <w:lang w:val="en-GB"/>
        </w:rPr>
        <w:t xml:space="preserve"> NSIs for </w:t>
      </w:r>
      <w:r w:rsidR="003F2C82">
        <w:rPr>
          <w:szCs w:val="24"/>
          <w:lang w:val="en-GB"/>
        </w:rPr>
        <w:t xml:space="preserve">European </w:t>
      </w:r>
      <w:r w:rsidR="00797500">
        <w:rPr>
          <w:szCs w:val="24"/>
          <w:lang w:val="en-GB"/>
        </w:rPr>
        <w:t>profiling</w:t>
      </w:r>
      <w:r w:rsidRPr="00F620A4">
        <w:rPr>
          <w:szCs w:val="24"/>
          <w:lang w:val="en-GB"/>
        </w:rPr>
        <w:t xml:space="preserve"> due to resource constraints</w:t>
      </w:r>
      <w:r w:rsidR="00797500">
        <w:rPr>
          <w:szCs w:val="24"/>
          <w:lang w:val="en-GB"/>
        </w:rPr>
        <w:t>,</w:t>
      </w:r>
      <w:r w:rsidRPr="00F620A4">
        <w:rPr>
          <w:szCs w:val="24"/>
          <w:lang w:val="en-GB"/>
        </w:rPr>
        <w:t xml:space="preserve"> a further analysis and an updated version of the CSI index </w:t>
      </w:r>
      <w:r w:rsidR="008C593E">
        <w:rPr>
          <w:szCs w:val="24"/>
          <w:lang w:val="en-GB"/>
        </w:rPr>
        <w:t>was</w:t>
      </w:r>
      <w:r w:rsidRPr="00F620A4">
        <w:rPr>
          <w:szCs w:val="24"/>
          <w:lang w:val="en-GB"/>
        </w:rPr>
        <w:t xml:space="preserve"> necessary.</w:t>
      </w:r>
    </w:p>
    <w:p w14:paraId="196A3B50" w14:textId="0DADA087" w:rsidR="0028180C" w:rsidRPr="00F620A4" w:rsidRDefault="008C593E" w:rsidP="0028180C">
      <w:pPr>
        <w:pStyle w:val="berschrift2"/>
        <w:rPr>
          <w:b w:val="0"/>
          <w:bCs/>
        </w:rPr>
      </w:pPr>
      <w:r>
        <w:rPr>
          <w:b w:val="0"/>
          <w:bCs/>
        </w:rPr>
        <w:t>New version of the</w:t>
      </w:r>
      <w:r w:rsidR="0028180C" w:rsidRPr="00F620A4">
        <w:rPr>
          <w:b w:val="0"/>
          <w:bCs/>
        </w:rPr>
        <w:t xml:space="preserve"> </w:t>
      </w:r>
      <w:r w:rsidR="003F2C82" w:rsidRPr="002749D5">
        <w:rPr>
          <w:b w:val="0"/>
          <w:bCs/>
          <w:szCs w:val="24"/>
        </w:rPr>
        <w:t xml:space="preserve">Complexity and Statistical Impact </w:t>
      </w:r>
      <w:r w:rsidR="0028180C" w:rsidRPr="00F620A4">
        <w:rPr>
          <w:b w:val="0"/>
          <w:bCs/>
        </w:rPr>
        <w:t>CSI index</w:t>
      </w:r>
    </w:p>
    <w:p w14:paraId="1B72320C" w14:textId="6C18502A" w:rsidR="005C1188" w:rsidRPr="00F620A4" w:rsidRDefault="000C1744" w:rsidP="007C30B1">
      <w:pPr>
        <w:jc w:val="both"/>
        <w:rPr>
          <w:lang w:val="en-GB" w:eastAsia="en-GB"/>
        </w:rPr>
      </w:pPr>
      <w:r>
        <w:rPr>
          <w:lang w:val="en-GB" w:eastAsia="en-GB"/>
        </w:rPr>
        <w:t>The</w:t>
      </w:r>
      <w:r w:rsidRPr="005C1188">
        <w:rPr>
          <w:lang w:val="en-GB" w:eastAsia="en-GB"/>
        </w:rPr>
        <w:t xml:space="preserve"> </w:t>
      </w:r>
      <w:r w:rsidR="005C1188" w:rsidRPr="005C1188">
        <w:rPr>
          <w:lang w:val="en-GB" w:eastAsia="en-GB"/>
        </w:rPr>
        <w:t xml:space="preserve">initial version </w:t>
      </w:r>
      <w:r w:rsidR="00903141">
        <w:rPr>
          <w:lang w:val="en-GB" w:eastAsia="en-GB"/>
        </w:rPr>
        <w:t xml:space="preserve">of the CSI index </w:t>
      </w:r>
      <w:r w:rsidR="005C1188" w:rsidRPr="005C1188">
        <w:rPr>
          <w:lang w:val="en-GB" w:eastAsia="en-GB"/>
        </w:rPr>
        <w:t xml:space="preserve">was based on </w:t>
      </w:r>
      <w:r w:rsidR="00903141">
        <w:rPr>
          <w:lang w:val="en-GB" w:eastAsia="en-GB"/>
        </w:rPr>
        <w:t xml:space="preserve">a </w:t>
      </w:r>
      <w:r w:rsidR="005C1188" w:rsidRPr="005C1188">
        <w:rPr>
          <w:lang w:val="en-GB" w:eastAsia="en-GB"/>
        </w:rPr>
        <w:t xml:space="preserve">simple ranking of </w:t>
      </w:r>
      <w:r w:rsidR="00903141">
        <w:rPr>
          <w:lang w:val="en-GB" w:eastAsia="en-GB"/>
        </w:rPr>
        <w:t xml:space="preserve">MNE </w:t>
      </w:r>
      <w:r w:rsidR="005C1188" w:rsidRPr="005C1188">
        <w:rPr>
          <w:lang w:val="en-GB" w:eastAsia="en-GB"/>
        </w:rPr>
        <w:t>group</w:t>
      </w:r>
      <w:r w:rsidR="00903141">
        <w:rPr>
          <w:lang w:val="en-GB" w:eastAsia="en-GB"/>
        </w:rPr>
        <w:t>s</w:t>
      </w:r>
      <w:r w:rsidR="005C1188" w:rsidRPr="005C1188">
        <w:rPr>
          <w:lang w:val="en-GB" w:eastAsia="en-GB"/>
        </w:rPr>
        <w:t xml:space="preserve"> </w:t>
      </w:r>
      <w:r w:rsidR="00903141">
        <w:rPr>
          <w:lang w:val="en-GB" w:eastAsia="en-GB"/>
        </w:rPr>
        <w:t xml:space="preserve">according to </w:t>
      </w:r>
      <w:r w:rsidR="005C1188" w:rsidRPr="005C1188">
        <w:rPr>
          <w:lang w:val="en-GB" w:eastAsia="en-GB"/>
        </w:rPr>
        <w:t xml:space="preserve">each </w:t>
      </w:r>
      <w:r w:rsidR="00903141">
        <w:rPr>
          <w:lang w:val="en-GB" w:eastAsia="en-GB"/>
        </w:rPr>
        <w:t xml:space="preserve">selection </w:t>
      </w:r>
      <w:r w:rsidR="005C1188" w:rsidRPr="005C1188">
        <w:rPr>
          <w:lang w:val="en-GB" w:eastAsia="en-GB"/>
        </w:rPr>
        <w:t xml:space="preserve">criterion. </w:t>
      </w:r>
      <w:r w:rsidR="008C593E">
        <w:rPr>
          <w:lang w:val="en-GB" w:eastAsia="en-GB"/>
        </w:rPr>
        <w:t>A</w:t>
      </w:r>
      <w:r w:rsidR="00903141">
        <w:rPr>
          <w:lang w:val="en-GB" w:eastAsia="en-GB"/>
        </w:rPr>
        <w:t xml:space="preserve"> more detailed </w:t>
      </w:r>
      <w:r w:rsidR="0088134F">
        <w:rPr>
          <w:lang w:val="en-GB" w:eastAsia="en-GB"/>
        </w:rPr>
        <w:t>analysis</w:t>
      </w:r>
      <w:r w:rsidR="00BB3FF3" w:rsidRPr="00BB3FF3">
        <w:rPr>
          <w:lang w:val="en-GB" w:eastAsia="en-GB"/>
        </w:rPr>
        <w:t xml:space="preserve"> </w:t>
      </w:r>
      <w:r w:rsidR="00903141">
        <w:rPr>
          <w:lang w:val="en-GB" w:eastAsia="en-GB"/>
        </w:rPr>
        <w:t xml:space="preserve">showed that </w:t>
      </w:r>
      <w:r w:rsidR="00BB3FF3" w:rsidRPr="00BB3FF3">
        <w:rPr>
          <w:lang w:val="en-GB" w:eastAsia="en-GB"/>
        </w:rPr>
        <w:t xml:space="preserve">a </w:t>
      </w:r>
      <w:r w:rsidR="00C272E0" w:rsidRPr="00BB3FF3">
        <w:rPr>
          <w:lang w:val="en-GB" w:eastAsia="en-GB"/>
        </w:rPr>
        <w:t>decile</w:t>
      </w:r>
      <w:r w:rsidR="00895AA2">
        <w:rPr>
          <w:rStyle w:val="Funotenzeichen"/>
          <w:lang w:val="en-GB" w:eastAsia="en-GB"/>
        </w:rPr>
        <w:footnoteReference w:id="3"/>
      </w:r>
      <w:r w:rsidR="00C272E0" w:rsidRPr="00BB3FF3">
        <w:rPr>
          <w:lang w:val="en-GB" w:eastAsia="en-GB"/>
        </w:rPr>
        <w:t>-based</w:t>
      </w:r>
      <w:r w:rsidR="00BB3FF3" w:rsidRPr="00BB3FF3">
        <w:rPr>
          <w:lang w:val="en-GB" w:eastAsia="en-GB"/>
        </w:rPr>
        <w:t xml:space="preserve"> approach</w:t>
      </w:r>
      <w:r w:rsidR="0088134F">
        <w:rPr>
          <w:lang w:val="en-GB" w:eastAsia="en-GB"/>
        </w:rPr>
        <w:t xml:space="preserve"> wa</w:t>
      </w:r>
      <w:r w:rsidR="00903141">
        <w:rPr>
          <w:lang w:val="en-GB" w:eastAsia="en-GB"/>
        </w:rPr>
        <w:t xml:space="preserve">s </w:t>
      </w:r>
      <w:r w:rsidR="00125134">
        <w:rPr>
          <w:lang w:val="en-GB" w:eastAsia="en-GB"/>
        </w:rPr>
        <w:t xml:space="preserve">more </w:t>
      </w:r>
      <w:r w:rsidR="0088134F">
        <w:rPr>
          <w:lang w:val="en-GB" w:eastAsia="en-GB"/>
        </w:rPr>
        <w:t>a</w:t>
      </w:r>
      <w:r w:rsidR="00903141">
        <w:rPr>
          <w:lang w:val="en-GB" w:eastAsia="en-GB"/>
        </w:rPr>
        <w:t xml:space="preserve">ppropriate </w:t>
      </w:r>
      <w:r w:rsidR="00895AA2">
        <w:rPr>
          <w:lang w:val="en-GB" w:eastAsia="en-GB"/>
        </w:rPr>
        <w:t>to</w:t>
      </w:r>
      <w:r w:rsidR="0088134F">
        <w:rPr>
          <w:lang w:val="en-GB" w:eastAsia="en-GB"/>
        </w:rPr>
        <w:t xml:space="preserve"> improve the</w:t>
      </w:r>
      <w:r w:rsidR="00125134">
        <w:rPr>
          <w:lang w:val="en-GB" w:eastAsia="en-GB"/>
        </w:rPr>
        <w:t xml:space="preserve"> results of the</w:t>
      </w:r>
      <w:r w:rsidR="0088134F">
        <w:rPr>
          <w:lang w:val="en-GB" w:eastAsia="en-GB"/>
        </w:rPr>
        <w:t xml:space="preserve"> CSI</w:t>
      </w:r>
      <w:r w:rsidR="005C1188" w:rsidRPr="005C1188">
        <w:rPr>
          <w:lang w:val="en-GB" w:eastAsia="en-GB"/>
        </w:rPr>
        <w:t>.</w:t>
      </w:r>
      <w:r w:rsidR="00895AA2">
        <w:rPr>
          <w:lang w:val="en-GB" w:eastAsia="en-GB"/>
        </w:rPr>
        <w:t xml:space="preserve"> </w:t>
      </w:r>
      <w:r w:rsidR="008221B5">
        <w:rPr>
          <w:lang w:val="en-GB" w:eastAsia="en-GB"/>
        </w:rPr>
        <w:t>Briefly</w:t>
      </w:r>
      <w:r w:rsidR="00895AA2">
        <w:rPr>
          <w:lang w:val="en-GB" w:eastAsia="en-GB"/>
        </w:rPr>
        <w:t>, the approac</w:t>
      </w:r>
      <w:r w:rsidR="008221B5" w:rsidRPr="008221B5">
        <w:rPr>
          <w:lang w:val="en-GB" w:eastAsia="en-GB"/>
        </w:rPr>
        <w:t xml:space="preserve">h </w:t>
      </w:r>
      <w:r w:rsidR="00903141">
        <w:rPr>
          <w:lang w:val="en-GB" w:eastAsia="en-GB"/>
        </w:rPr>
        <w:t xml:space="preserve">consists in </w:t>
      </w:r>
      <w:r w:rsidR="008221B5" w:rsidRPr="008221B5">
        <w:rPr>
          <w:lang w:val="en-GB" w:eastAsia="en-GB"/>
        </w:rPr>
        <w:t>divid</w:t>
      </w:r>
      <w:r w:rsidR="00903141">
        <w:rPr>
          <w:lang w:val="en-GB" w:eastAsia="en-GB"/>
        </w:rPr>
        <w:t xml:space="preserve">ing the target </w:t>
      </w:r>
      <w:r w:rsidR="008221B5" w:rsidRPr="008221B5">
        <w:rPr>
          <w:lang w:val="en-GB" w:eastAsia="en-GB"/>
        </w:rPr>
        <w:t xml:space="preserve">population </w:t>
      </w:r>
      <w:r w:rsidR="003F2C82">
        <w:rPr>
          <w:lang w:val="en-GB" w:eastAsia="en-GB"/>
        </w:rPr>
        <w:t xml:space="preserve">of MNE groups in EGR </w:t>
      </w:r>
      <w:r w:rsidR="008221B5" w:rsidRPr="008221B5">
        <w:rPr>
          <w:lang w:val="en-GB" w:eastAsia="en-GB"/>
        </w:rPr>
        <w:t xml:space="preserve">into </w:t>
      </w:r>
      <w:r w:rsidR="004D2EA1" w:rsidRPr="008D03CB">
        <w:rPr>
          <w:i/>
          <w:iCs/>
          <w:lang w:val="en-GB" w:eastAsia="en-GB"/>
        </w:rPr>
        <w:t>n</w:t>
      </w:r>
      <w:r w:rsidR="008221B5" w:rsidRPr="008221B5">
        <w:rPr>
          <w:lang w:val="en-GB" w:eastAsia="en-GB"/>
        </w:rPr>
        <w:t xml:space="preserve"> </w:t>
      </w:r>
      <w:r w:rsidR="00903141">
        <w:rPr>
          <w:lang w:val="en-GB" w:eastAsia="en-GB"/>
        </w:rPr>
        <w:t>sets</w:t>
      </w:r>
      <w:r w:rsidR="008221B5" w:rsidRPr="008221B5">
        <w:rPr>
          <w:lang w:val="en-GB" w:eastAsia="en-GB"/>
        </w:rPr>
        <w:t xml:space="preserve"> each </w:t>
      </w:r>
      <w:r w:rsidR="00903141">
        <w:rPr>
          <w:lang w:val="en-GB" w:eastAsia="en-GB"/>
        </w:rPr>
        <w:t xml:space="preserve">of them </w:t>
      </w:r>
      <w:r w:rsidR="008221B5" w:rsidRPr="008221B5">
        <w:rPr>
          <w:lang w:val="en-GB" w:eastAsia="en-GB"/>
        </w:rPr>
        <w:t>with the same probability of being drawn.</w:t>
      </w:r>
      <w:r w:rsidR="004D2EA1">
        <w:rPr>
          <w:lang w:val="en-GB" w:eastAsia="en-GB"/>
        </w:rPr>
        <w:t xml:space="preserve"> </w:t>
      </w:r>
      <w:r w:rsidR="00903141">
        <w:rPr>
          <w:lang w:val="en-GB" w:eastAsia="en-GB"/>
        </w:rPr>
        <w:lastRenderedPageBreak/>
        <w:t xml:space="preserve">The approach </w:t>
      </w:r>
      <w:r w:rsidR="004D2EA1">
        <w:rPr>
          <w:lang w:val="en-GB" w:eastAsia="en-GB"/>
        </w:rPr>
        <w:t>is based on the quantile of the empirical distribution of each chosen criterion.</w:t>
      </w:r>
      <w:r w:rsidR="008221B5" w:rsidRPr="008221B5">
        <w:rPr>
          <w:lang w:val="en-GB" w:eastAsia="en-GB"/>
        </w:rPr>
        <w:t xml:space="preserve"> </w:t>
      </w:r>
      <w:r w:rsidR="00903141">
        <w:rPr>
          <w:lang w:val="en-GB" w:eastAsia="en-GB"/>
        </w:rPr>
        <w:t xml:space="preserve">It </w:t>
      </w:r>
      <w:r w:rsidR="008221B5" w:rsidRPr="008221B5">
        <w:rPr>
          <w:lang w:val="en-GB" w:eastAsia="en-GB"/>
        </w:rPr>
        <w:t xml:space="preserve">allows for the correct management of cases where </w:t>
      </w:r>
      <w:r w:rsidR="00903141">
        <w:rPr>
          <w:lang w:val="en-GB" w:eastAsia="en-GB"/>
        </w:rPr>
        <w:t xml:space="preserve">a </w:t>
      </w:r>
      <w:r w:rsidR="008221B5" w:rsidRPr="008221B5">
        <w:rPr>
          <w:lang w:val="en-GB" w:eastAsia="en-GB"/>
        </w:rPr>
        <w:t xml:space="preserve">distribution is not uniform, which is the case </w:t>
      </w:r>
      <w:r w:rsidR="00903141">
        <w:rPr>
          <w:lang w:val="en-GB" w:eastAsia="en-GB"/>
        </w:rPr>
        <w:t>for the MNE groups.</w:t>
      </w:r>
      <w:r w:rsidR="008221B5">
        <w:rPr>
          <w:lang w:val="en-GB" w:eastAsia="en-GB"/>
        </w:rPr>
        <w:t xml:space="preserve"> </w:t>
      </w:r>
      <w:r w:rsidR="00D72193" w:rsidRPr="00D72193">
        <w:rPr>
          <w:lang w:val="en-GB" w:eastAsia="en-GB"/>
        </w:rPr>
        <w:t xml:space="preserve">Furthermore, the ranking method does not allow the </w:t>
      </w:r>
      <w:r w:rsidR="00D72193">
        <w:rPr>
          <w:lang w:val="en-GB" w:eastAsia="en-GB"/>
        </w:rPr>
        <w:t>correct</w:t>
      </w:r>
      <w:r w:rsidR="00D72193" w:rsidRPr="00D72193">
        <w:rPr>
          <w:lang w:val="en-GB" w:eastAsia="en-GB"/>
        </w:rPr>
        <w:t xml:space="preserve"> management of the </w:t>
      </w:r>
      <w:r w:rsidR="00D72193">
        <w:rPr>
          <w:lang w:val="en-GB" w:eastAsia="en-GB"/>
        </w:rPr>
        <w:t>ties</w:t>
      </w:r>
      <w:r w:rsidR="00D72193" w:rsidRPr="00D72193">
        <w:rPr>
          <w:lang w:val="en-GB" w:eastAsia="en-GB"/>
        </w:rPr>
        <w:t xml:space="preserve"> </w:t>
      </w:r>
      <w:r w:rsidR="00903141">
        <w:rPr>
          <w:lang w:val="en-GB" w:eastAsia="en-GB"/>
        </w:rPr>
        <w:t>of the distribution. F</w:t>
      </w:r>
      <w:r w:rsidR="00D72193" w:rsidRPr="00D72193">
        <w:rPr>
          <w:lang w:val="en-GB" w:eastAsia="en-GB"/>
        </w:rPr>
        <w:t xml:space="preserve">or some </w:t>
      </w:r>
      <w:r w:rsidR="00903141">
        <w:rPr>
          <w:lang w:val="en-GB" w:eastAsia="en-GB"/>
        </w:rPr>
        <w:t>of the select</w:t>
      </w:r>
      <w:r w:rsidR="008839EF">
        <w:rPr>
          <w:lang w:val="en-GB" w:eastAsia="en-GB"/>
        </w:rPr>
        <w:t>ed</w:t>
      </w:r>
      <w:r w:rsidR="00903141">
        <w:rPr>
          <w:lang w:val="en-GB" w:eastAsia="en-GB"/>
        </w:rPr>
        <w:t xml:space="preserve"> </w:t>
      </w:r>
      <w:r w:rsidR="00D72193" w:rsidRPr="00D72193">
        <w:rPr>
          <w:lang w:val="en-GB" w:eastAsia="en-GB"/>
        </w:rPr>
        <w:t xml:space="preserve">criteria, </w:t>
      </w:r>
      <w:r w:rsidR="00903141">
        <w:rPr>
          <w:lang w:val="en-GB" w:eastAsia="en-GB"/>
        </w:rPr>
        <w:t xml:space="preserve">MNE </w:t>
      </w:r>
      <w:r w:rsidR="00D72193" w:rsidRPr="00D72193">
        <w:rPr>
          <w:lang w:val="en-GB" w:eastAsia="en-GB"/>
        </w:rPr>
        <w:t>groups with the same value (</w:t>
      </w:r>
      <w:r w:rsidR="00D72193">
        <w:rPr>
          <w:lang w:val="en-GB" w:eastAsia="en-GB"/>
        </w:rPr>
        <w:t>ties</w:t>
      </w:r>
      <w:r w:rsidR="00D72193" w:rsidRPr="00D72193">
        <w:rPr>
          <w:lang w:val="en-GB" w:eastAsia="en-GB"/>
        </w:rPr>
        <w:t>)</w:t>
      </w:r>
      <w:r w:rsidR="00903141">
        <w:rPr>
          <w:lang w:val="en-GB" w:eastAsia="en-GB"/>
        </w:rPr>
        <w:t xml:space="preserve"> </w:t>
      </w:r>
      <w:r w:rsidR="008839EF">
        <w:rPr>
          <w:lang w:val="en-GB" w:eastAsia="en-GB"/>
        </w:rPr>
        <w:t>must</w:t>
      </w:r>
      <w:r w:rsidR="00903141">
        <w:rPr>
          <w:lang w:val="en-GB" w:eastAsia="en-GB"/>
        </w:rPr>
        <w:t xml:space="preserve"> be </w:t>
      </w:r>
      <w:r w:rsidR="00D72193" w:rsidRPr="00D72193">
        <w:rPr>
          <w:lang w:val="en-GB" w:eastAsia="en-GB"/>
        </w:rPr>
        <w:t xml:space="preserve">classified in the same class </w:t>
      </w:r>
      <w:r w:rsidR="008D03CB" w:rsidRPr="00D72193">
        <w:rPr>
          <w:lang w:val="en-GB" w:eastAsia="en-GB"/>
        </w:rPr>
        <w:t>to</w:t>
      </w:r>
      <w:r w:rsidR="00D72193" w:rsidRPr="00D72193">
        <w:rPr>
          <w:lang w:val="en-GB" w:eastAsia="en-GB"/>
        </w:rPr>
        <w:t xml:space="preserve"> avoid random </w:t>
      </w:r>
      <w:r w:rsidR="00E6325E">
        <w:rPr>
          <w:lang w:val="en-GB" w:eastAsia="en-GB"/>
        </w:rPr>
        <w:t>rejections</w:t>
      </w:r>
      <w:r w:rsidR="00D72193" w:rsidRPr="00D72193">
        <w:rPr>
          <w:lang w:val="en-GB" w:eastAsia="en-GB"/>
        </w:rPr>
        <w:t>;</w:t>
      </w:r>
      <w:r w:rsidR="00125134">
        <w:rPr>
          <w:lang w:val="en-GB" w:eastAsia="en-GB"/>
        </w:rPr>
        <w:t xml:space="preserve"> </w:t>
      </w:r>
      <w:r w:rsidR="00423D8A">
        <w:rPr>
          <w:lang w:val="en-GB" w:eastAsia="en-GB"/>
        </w:rPr>
        <w:t>With</w:t>
      </w:r>
      <w:r w:rsidR="00903141">
        <w:rPr>
          <w:lang w:val="en-GB" w:eastAsia="en-GB"/>
        </w:rPr>
        <w:t xml:space="preserve"> the </w:t>
      </w:r>
      <w:r w:rsidR="00D72193" w:rsidRPr="00D72193">
        <w:rPr>
          <w:lang w:val="en-GB" w:eastAsia="en-GB"/>
        </w:rPr>
        <w:t xml:space="preserve">method based on </w:t>
      </w:r>
      <w:r w:rsidR="00E6325E">
        <w:rPr>
          <w:lang w:val="en-GB" w:eastAsia="en-GB"/>
        </w:rPr>
        <w:t>ranking</w:t>
      </w:r>
      <w:r w:rsidR="00D72193" w:rsidRPr="00D72193">
        <w:rPr>
          <w:lang w:val="en-GB" w:eastAsia="en-GB"/>
        </w:rPr>
        <w:t xml:space="preserve">, </w:t>
      </w:r>
      <w:r w:rsidR="00903141">
        <w:rPr>
          <w:lang w:val="en-GB" w:eastAsia="en-GB"/>
        </w:rPr>
        <w:t xml:space="preserve">this cannot be </w:t>
      </w:r>
      <w:r w:rsidR="00D72193" w:rsidRPr="00D72193">
        <w:rPr>
          <w:lang w:val="en-GB" w:eastAsia="en-GB"/>
        </w:rPr>
        <w:t>guarantee</w:t>
      </w:r>
      <w:r w:rsidR="00903141">
        <w:rPr>
          <w:lang w:val="en-GB" w:eastAsia="en-GB"/>
        </w:rPr>
        <w:t>d</w:t>
      </w:r>
      <w:r w:rsidR="00423D8A">
        <w:rPr>
          <w:lang w:val="en-GB" w:eastAsia="en-GB"/>
        </w:rPr>
        <w:t>.</w:t>
      </w:r>
    </w:p>
    <w:p w14:paraId="7EA06080" w14:textId="52204793" w:rsidR="007A0A59" w:rsidRPr="00F620A4" w:rsidRDefault="00A47DA0" w:rsidP="007C30B1">
      <w:pPr>
        <w:jc w:val="both"/>
        <w:rPr>
          <w:szCs w:val="24"/>
          <w:lang w:val="en-GB"/>
        </w:rPr>
      </w:pPr>
      <w:r>
        <w:rPr>
          <w:szCs w:val="24"/>
          <w:lang w:val="en-GB"/>
        </w:rPr>
        <w:t xml:space="preserve">The </w:t>
      </w:r>
      <w:r w:rsidR="003F2C82">
        <w:rPr>
          <w:szCs w:val="24"/>
          <w:lang w:val="en-GB"/>
        </w:rPr>
        <w:t xml:space="preserve">MNE groups </w:t>
      </w:r>
      <w:r>
        <w:rPr>
          <w:szCs w:val="24"/>
          <w:lang w:val="en-GB"/>
        </w:rPr>
        <w:t xml:space="preserve">selected </w:t>
      </w:r>
      <w:r w:rsidR="003F2C82">
        <w:rPr>
          <w:szCs w:val="24"/>
          <w:lang w:val="en-GB"/>
        </w:rPr>
        <w:t>according to the new CSI index</w:t>
      </w:r>
      <w:r>
        <w:rPr>
          <w:szCs w:val="24"/>
          <w:lang w:val="en-GB"/>
        </w:rPr>
        <w:t xml:space="preserve"> can be assigned to each country </w:t>
      </w:r>
      <w:r w:rsidR="003F2C82">
        <w:rPr>
          <w:szCs w:val="24"/>
          <w:lang w:val="en-GB"/>
        </w:rPr>
        <w:t xml:space="preserve">for European profiling </w:t>
      </w:r>
      <w:r>
        <w:rPr>
          <w:szCs w:val="24"/>
          <w:lang w:val="en-GB"/>
        </w:rPr>
        <w:t xml:space="preserve">based on </w:t>
      </w:r>
      <w:r w:rsidR="007A0A59" w:rsidRPr="00F620A4">
        <w:rPr>
          <w:szCs w:val="24"/>
          <w:lang w:val="en-GB"/>
        </w:rPr>
        <w:t xml:space="preserve">the location of the </w:t>
      </w:r>
      <w:r w:rsidR="00317FB7">
        <w:rPr>
          <w:szCs w:val="24"/>
          <w:lang w:val="en-GB"/>
        </w:rPr>
        <w:t xml:space="preserve">Global Decision </w:t>
      </w:r>
      <w:proofErr w:type="spellStart"/>
      <w:r w:rsidR="00317FB7">
        <w:rPr>
          <w:szCs w:val="24"/>
          <w:lang w:val="en-GB"/>
        </w:rPr>
        <w:t>Center</w:t>
      </w:r>
      <w:proofErr w:type="spellEnd"/>
      <w:r w:rsidR="00317FB7">
        <w:rPr>
          <w:szCs w:val="24"/>
          <w:lang w:val="en-GB"/>
        </w:rPr>
        <w:t xml:space="preserve"> (</w:t>
      </w:r>
      <w:r w:rsidR="007A0A59" w:rsidRPr="00F620A4">
        <w:rPr>
          <w:szCs w:val="24"/>
          <w:lang w:val="en-GB"/>
        </w:rPr>
        <w:t>GDC</w:t>
      </w:r>
      <w:r w:rsidR="007A0A59" w:rsidRPr="00F620A4">
        <w:rPr>
          <w:rStyle w:val="Funotenzeichen"/>
          <w:szCs w:val="24"/>
          <w:lang w:val="en-GB"/>
        </w:rPr>
        <w:footnoteReference w:id="4"/>
      </w:r>
      <w:r w:rsidR="00317FB7">
        <w:rPr>
          <w:szCs w:val="24"/>
          <w:lang w:val="en-GB"/>
        </w:rPr>
        <w:t>)</w:t>
      </w:r>
      <w:r>
        <w:rPr>
          <w:szCs w:val="24"/>
          <w:lang w:val="en-GB"/>
        </w:rPr>
        <w:t xml:space="preserve"> if it </w:t>
      </w:r>
      <w:r w:rsidR="001A2FE6">
        <w:rPr>
          <w:szCs w:val="24"/>
          <w:lang w:val="en-GB"/>
        </w:rPr>
        <w:t>is in</w:t>
      </w:r>
      <w:r>
        <w:rPr>
          <w:szCs w:val="24"/>
          <w:lang w:val="en-GB"/>
        </w:rPr>
        <w:t xml:space="preserve"> EU+EFTA countries</w:t>
      </w:r>
      <w:r w:rsidR="007A0A59" w:rsidRPr="00F620A4">
        <w:rPr>
          <w:szCs w:val="24"/>
          <w:lang w:val="en-GB"/>
        </w:rPr>
        <w:t>.</w:t>
      </w:r>
    </w:p>
    <w:p w14:paraId="69A30DA7" w14:textId="59711ECC" w:rsidR="00C63408" w:rsidRPr="00F620A4" w:rsidRDefault="00317CF9" w:rsidP="007C30B1">
      <w:pPr>
        <w:jc w:val="both"/>
        <w:rPr>
          <w:szCs w:val="24"/>
          <w:lang w:val="en-GB"/>
        </w:rPr>
      </w:pPr>
      <w:r>
        <w:rPr>
          <w:szCs w:val="24"/>
          <w:lang w:val="en-GB"/>
        </w:rPr>
        <w:t>To</w:t>
      </w:r>
      <w:r w:rsidR="00317FB7">
        <w:rPr>
          <w:szCs w:val="24"/>
          <w:lang w:val="en-GB"/>
        </w:rPr>
        <w:t xml:space="preserve"> find a way to treat</w:t>
      </w:r>
      <w:r w:rsidR="007A0A59" w:rsidRPr="00F620A4">
        <w:rPr>
          <w:szCs w:val="24"/>
          <w:lang w:val="en-GB"/>
        </w:rPr>
        <w:t xml:space="preserve"> the </w:t>
      </w:r>
      <w:r w:rsidR="001C7D48" w:rsidRPr="001C7D48">
        <w:rPr>
          <w:rFonts w:cs="Calibri"/>
          <w:lang w:val="en-GB"/>
        </w:rPr>
        <w:t>Top-tier</w:t>
      </w:r>
      <w:r w:rsidR="00317FB7">
        <w:rPr>
          <w:szCs w:val="24"/>
          <w:lang w:val="en-GB"/>
        </w:rPr>
        <w:t xml:space="preserve"> MNE </w:t>
      </w:r>
      <w:r w:rsidR="007A0A59" w:rsidRPr="00F620A4">
        <w:rPr>
          <w:szCs w:val="24"/>
          <w:lang w:val="en-GB"/>
        </w:rPr>
        <w:t xml:space="preserve">groups where the GDC is located outside EU+EFTA, </w:t>
      </w:r>
      <w:r w:rsidR="005E021E">
        <w:rPr>
          <w:szCs w:val="24"/>
          <w:lang w:val="en-GB"/>
        </w:rPr>
        <w:t xml:space="preserve">the </w:t>
      </w:r>
      <w:r w:rsidR="003F2C82">
        <w:rPr>
          <w:szCs w:val="24"/>
          <w:lang w:val="en-GB"/>
        </w:rPr>
        <w:t>T</w:t>
      </w:r>
      <w:r w:rsidR="005E021E">
        <w:rPr>
          <w:szCs w:val="24"/>
          <w:lang w:val="en-GB"/>
        </w:rPr>
        <w:t xml:space="preserve">ask </w:t>
      </w:r>
      <w:r w:rsidR="003F2C82">
        <w:rPr>
          <w:szCs w:val="24"/>
          <w:lang w:val="en-GB"/>
        </w:rPr>
        <w:t>F</w:t>
      </w:r>
      <w:r w:rsidR="005E021E">
        <w:rPr>
          <w:szCs w:val="24"/>
          <w:lang w:val="en-GB"/>
        </w:rPr>
        <w:t xml:space="preserve">orce and Eurostat </w:t>
      </w:r>
      <w:r w:rsidR="007A0A59" w:rsidRPr="00F620A4">
        <w:rPr>
          <w:szCs w:val="24"/>
          <w:lang w:val="en-GB"/>
        </w:rPr>
        <w:t xml:space="preserve">have defined a </w:t>
      </w:r>
      <w:r w:rsidR="001A2FE6" w:rsidRPr="00F620A4">
        <w:rPr>
          <w:szCs w:val="24"/>
          <w:lang w:val="en-GB"/>
        </w:rPr>
        <w:t>methodology to</w:t>
      </w:r>
      <w:r w:rsidR="007A0A59" w:rsidRPr="00F620A4">
        <w:rPr>
          <w:szCs w:val="24"/>
          <w:lang w:val="en-GB"/>
        </w:rPr>
        <w:t xml:space="preserve"> find the </w:t>
      </w:r>
      <w:r w:rsidR="005E021E">
        <w:rPr>
          <w:szCs w:val="24"/>
          <w:lang w:val="en-GB"/>
        </w:rPr>
        <w:t>“</w:t>
      </w:r>
      <w:r w:rsidR="00423D8A">
        <w:rPr>
          <w:szCs w:val="24"/>
          <w:lang w:val="en-GB"/>
        </w:rPr>
        <w:t xml:space="preserve">a </w:t>
      </w:r>
      <w:r w:rsidR="007A0A59" w:rsidRPr="00F620A4">
        <w:rPr>
          <w:szCs w:val="24"/>
          <w:lang w:val="en-GB"/>
        </w:rPr>
        <w:t>responsible</w:t>
      </w:r>
      <w:r w:rsidR="005E021E">
        <w:rPr>
          <w:szCs w:val="24"/>
          <w:lang w:val="en-GB"/>
        </w:rPr>
        <w:t>”</w:t>
      </w:r>
      <w:r w:rsidR="007A0A59" w:rsidRPr="00F620A4">
        <w:rPr>
          <w:szCs w:val="24"/>
          <w:lang w:val="en-GB"/>
        </w:rPr>
        <w:t xml:space="preserve"> EU+EFTA country to work on the</w:t>
      </w:r>
      <w:r w:rsidR="00317FB7">
        <w:rPr>
          <w:szCs w:val="24"/>
          <w:lang w:val="en-GB"/>
        </w:rPr>
        <w:t>se</w:t>
      </w:r>
      <w:r w:rsidR="007A0A59" w:rsidRPr="00F620A4">
        <w:rPr>
          <w:szCs w:val="24"/>
          <w:lang w:val="en-GB"/>
        </w:rPr>
        <w:t xml:space="preserve"> </w:t>
      </w:r>
      <w:r w:rsidR="005E021E">
        <w:rPr>
          <w:szCs w:val="24"/>
          <w:lang w:val="en-GB"/>
        </w:rPr>
        <w:t xml:space="preserve">MNE </w:t>
      </w:r>
      <w:r w:rsidR="007A0A59" w:rsidRPr="00F620A4">
        <w:rPr>
          <w:szCs w:val="24"/>
          <w:lang w:val="en-GB"/>
        </w:rPr>
        <w:t>group</w:t>
      </w:r>
      <w:r w:rsidR="00317FB7">
        <w:rPr>
          <w:szCs w:val="24"/>
          <w:lang w:val="en-GB"/>
        </w:rPr>
        <w:t>s</w:t>
      </w:r>
      <w:r w:rsidR="005E021E">
        <w:rPr>
          <w:szCs w:val="24"/>
          <w:lang w:val="en-GB"/>
        </w:rPr>
        <w:t xml:space="preserve">, </w:t>
      </w:r>
      <w:r w:rsidR="008839EF">
        <w:rPr>
          <w:szCs w:val="24"/>
          <w:lang w:val="en-GB"/>
        </w:rPr>
        <w:t>i.e.,</w:t>
      </w:r>
      <w:r w:rsidR="005E021E">
        <w:rPr>
          <w:szCs w:val="24"/>
          <w:lang w:val="en-GB"/>
        </w:rPr>
        <w:t xml:space="preserve"> the country with the </w:t>
      </w:r>
      <w:r w:rsidR="00317FB7">
        <w:rPr>
          <w:szCs w:val="24"/>
          <w:lang w:val="en-GB"/>
        </w:rPr>
        <w:t xml:space="preserve">highest </w:t>
      </w:r>
      <w:r w:rsidR="005E021E">
        <w:rPr>
          <w:szCs w:val="24"/>
          <w:lang w:val="en-GB"/>
        </w:rPr>
        <w:t xml:space="preserve">interest to profile </w:t>
      </w:r>
      <w:r w:rsidR="00317FB7">
        <w:rPr>
          <w:szCs w:val="24"/>
          <w:lang w:val="en-GB"/>
        </w:rPr>
        <w:t xml:space="preserve">these </w:t>
      </w:r>
      <w:r w:rsidR="005E021E">
        <w:rPr>
          <w:szCs w:val="24"/>
          <w:lang w:val="en-GB"/>
        </w:rPr>
        <w:t>MNE group</w:t>
      </w:r>
      <w:r w:rsidR="00317FB7">
        <w:rPr>
          <w:szCs w:val="24"/>
          <w:lang w:val="en-GB"/>
        </w:rPr>
        <w:t>s</w:t>
      </w:r>
      <w:r w:rsidR="007A0A59" w:rsidRPr="00F620A4">
        <w:rPr>
          <w:szCs w:val="24"/>
          <w:lang w:val="en-GB"/>
        </w:rPr>
        <w:t>.</w:t>
      </w:r>
      <w:r w:rsidR="00E76348">
        <w:rPr>
          <w:szCs w:val="24"/>
          <w:lang w:val="en-GB"/>
        </w:rPr>
        <w:t xml:space="preserve"> </w:t>
      </w:r>
      <w:r w:rsidR="00045178" w:rsidRPr="00045178">
        <w:rPr>
          <w:szCs w:val="24"/>
          <w:lang w:val="en-GB"/>
        </w:rPr>
        <w:t xml:space="preserve">This </w:t>
      </w:r>
      <w:r w:rsidR="00317FB7">
        <w:rPr>
          <w:szCs w:val="24"/>
          <w:lang w:val="en-GB"/>
        </w:rPr>
        <w:t>assignment however can be</w:t>
      </w:r>
      <w:r w:rsidR="00045178" w:rsidRPr="00045178">
        <w:rPr>
          <w:szCs w:val="24"/>
          <w:lang w:val="en-GB"/>
        </w:rPr>
        <w:t xml:space="preserve"> modified </w:t>
      </w:r>
      <w:r w:rsidR="00423D8A">
        <w:rPr>
          <w:szCs w:val="24"/>
          <w:lang w:val="en-GB"/>
        </w:rPr>
        <w:t xml:space="preserve">if agreed accordingly </w:t>
      </w:r>
      <w:r w:rsidR="00045178" w:rsidRPr="00045178">
        <w:rPr>
          <w:szCs w:val="24"/>
          <w:lang w:val="en-GB"/>
        </w:rPr>
        <w:t>between</w:t>
      </w:r>
      <w:r w:rsidR="00423D8A">
        <w:rPr>
          <w:szCs w:val="24"/>
          <w:lang w:val="en-GB"/>
        </w:rPr>
        <w:t xml:space="preserve"> the</w:t>
      </w:r>
      <w:r w:rsidR="00045178" w:rsidRPr="00045178">
        <w:rPr>
          <w:szCs w:val="24"/>
          <w:lang w:val="en-GB"/>
        </w:rPr>
        <w:t xml:space="preserve"> countries</w:t>
      </w:r>
      <w:r w:rsidR="005E021E">
        <w:rPr>
          <w:szCs w:val="24"/>
          <w:lang w:val="en-GB"/>
        </w:rPr>
        <w:t>, depending on the statistical relevance and national user needs</w:t>
      </w:r>
      <w:r w:rsidR="00045178" w:rsidRPr="00045178">
        <w:rPr>
          <w:szCs w:val="24"/>
          <w:lang w:val="en-GB"/>
        </w:rPr>
        <w:t>.</w:t>
      </w:r>
    </w:p>
    <w:p w14:paraId="2F4FA2F3" w14:textId="226CB482" w:rsidR="00BF641C" w:rsidRPr="00F620A4" w:rsidRDefault="00317FB7" w:rsidP="007C30B1">
      <w:pPr>
        <w:jc w:val="both"/>
        <w:rPr>
          <w:lang w:val="en-GB"/>
        </w:rPr>
      </w:pPr>
      <w:r>
        <w:rPr>
          <w:lang w:val="en-GB"/>
        </w:rPr>
        <w:t>S</w:t>
      </w:r>
      <w:r w:rsidR="007A0A59" w:rsidRPr="00F620A4">
        <w:rPr>
          <w:lang w:val="en-GB"/>
        </w:rPr>
        <w:t xml:space="preserve">ome </w:t>
      </w:r>
      <w:r w:rsidR="005E021E">
        <w:rPr>
          <w:lang w:val="en-GB"/>
        </w:rPr>
        <w:t xml:space="preserve">EU and EFTA </w:t>
      </w:r>
      <w:r w:rsidR="007A0A59" w:rsidRPr="00F620A4">
        <w:rPr>
          <w:lang w:val="en-GB"/>
        </w:rPr>
        <w:t xml:space="preserve">countries </w:t>
      </w:r>
      <w:r w:rsidR="005E021E">
        <w:rPr>
          <w:lang w:val="en-GB"/>
        </w:rPr>
        <w:t xml:space="preserve">could result </w:t>
      </w:r>
      <w:r w:rsidR="007A0A59" w:rsidRPr="00F620A4">
        <w:rPr>
          <w:lang w:val="en-GB"/>
        </w:rPr>
        <w:t>hav</w:t>
      </w:r>
      <w:r w:rsidR="005E021E">
        <w:rPr>
          <w:lang w:val="en-GB"/>
        </w:rPr>
        <w:t xml:space="preserve">ing </w:t>
      </w:r>
      <w:r w:rsidR="007A0A59" w:rsidRPr="00F620A4">
        <w:rPr>
          <w:lang w:val="en-GB"/>
        </w:rPr>
        <w:t xml:space="preserve">little or no involvement in the </w:t>
      </w:r>
      <w:r w:rsidR="005E021E">
        <w:rPr>
          <w:lang w:val="en-GB"/>
        </w:rPr>
        <w:t xml:space="preserve">treatment of </w:t>
      </w:r>
      <w:r w:rsidR="007A0A59" w:rsidRPr="00F620A4">
        <w:rPr>
          <w:lang w:val="en-GB"/>
        </w:rPr>
        <w:t xml:space="preserve">Top-tier </w:t>
      </w:r>
      <w:r w:rsidR="005E021E">
        <w:rPr>
          <w:lang w:val="en-GB"/>
        </w:rPr>
        <w:t>MNE groups</w:t>
      </w:r>
      <w:r w:rsidR="007A0A59" w:rsidRPr="00F620A4">
        <w:rPr>
          <w:lang w:val="en-GB"/>
        </w:rPr>
        <w:t xml:space="preserve">, due to the absence of GDCs </w:t>
      </w:r>
      <w:r w:rsidR="005E021E">
        <w:rPr>
          <w:lang w:val="en-GB"/>
        </w:rPr>
        <w:t>in</w:t>
      </w:r>
      <w:r w:rsidR="007A0A59" w:rsidRPr="00F620A4">
        <w:rPr>
          <w:lang w:val="en-GB"/>
        </w:rPr>
        <w:t xml:space="preserve"> their territory, and/or the fact that they only host the GDCs of smaller groups.</w:t>
      </w:r>
      <w:r w:rsidR="00BF641C" w:rsidRPr="00F620A4">
        <w:rPr>
          <w:lang w:val="en-GB"/>
        </w:rPr>
        <w:t xml:space="preserve"> </w:t>
      </w:r>
      <w:r w:rsidR="008839EF">
        <w:rPr>
          <w:lang w:val="en-GB"/>
        </w:rPr>
        <w:t>To</w:t>
      </w:r>
      <w:r w:rsidR="005E021E">
        <w:rPr>
          <w:lang w:val="en-GB"/>
        </w:rPr>
        <w:t xml:space="preserve"> cover also MNE groups relevant at national </w:t>
      </w:r>
      <w:r w:rsidR="001A2FE6">
        <w:rPr>
          <w:lang w:val="en-GB"/>
        </w:rPr>
        <w:t>level, a</w:t>
      </w:r>
      <w:r>
        <w:rPr>
          <w:lang w:val="en-GB"/>
        </w:rPr>
        <w:t xml:space="preserve"> method has been defined to provide a </w:t>
      </w:r>
      <w:r w:rsidR="00BF641C" w:rsidRPr="00F620A4">
        <w:rPr>
          <w:lang w:val="en-GB"/>
        </w:rPr>
        <w:t>complement</w:t>
      </w:r>
      <w:r>
        <w:rPr>
          <w:lang w:val="en-GB"/>
        </w:rPr>
        <w:t>ary number of MNE groups to cover the needs of these countries.</w:t>
      </w:r>
    </w:p>
    <w:p w14:paraId="1D2B119B" w14:textId="62DF6C89" w:rsidR="00BC368E" w:rsidRPr="001C7D48" w:rsidRDefault="00BF641C" w:rsidP="007C30B1">
      <w:pPr>
        <w:jc w:val="both"/>
      </w:pPr>
      <w:r w:rsidRPr="00F620A4">
        <w:rPr>
          <w:b/>
          <w:bCs/>
          <w:lang w:val="en-GB"/>
        </w:rPr>
        <w:t>The</w:t>
      </w:r>
      <w:r w:rsidR="00317FB7">
        <w:rPr>
          <w:b/>
          <w:bCs/>
          <w:lang w:val="en-GB"/>
        </w:rPr>
        <w:t xml:space="preserve"> result of this work is that</w:t>
      </w:r>
      <w:r w:rsidR="00A63E2C">
        <w:rPr>
          <w:b/>
          <w:bCs/>
          <w:lang w:val="en-GB"/>
        </w:rPr>
        <w:t xml:space="preserve"> the</w:t>
      </w:r>
      <w:r w:rsidR="00317FB7">
        <w:rPr>
          <w:b/>
          <w:bCs/>
          <w:lang w:val="en-GB"/>
        </w:rPr>
        <w:t xml:space="preserve"> </w:t>
      </w:r>
      <w:r w:rsidR="003F2C82">
        <w:rPr>
          <w:b/>
          <w:bCs/>
          <w:lang w:val="en-GB"/>
        </w:rPr>
        <w:t xml:space="preserve">new </w:t>
      </w:r>
      <w:r w:rsidRPr="00F620A4">
        <w:rPr>
          <w:b/>
          <w:bCs/>
          <w:lang w:val="en-GB"/>
        </w:rPr>
        <w:t xml:space="preserve">CSI index </w:t>
      </w:r>
      <w:r w:rsidR="003F2C82">
        <w:rPr>
          <w:b/>
          <w:bCs/>
          <w:lang w:val="en-GB"/>
        </w:rPr>
        <w:t xml:space="preserve">allows to </w:t>
      </w:r>
      <w:r w:rsidR="001A2FE6">
        <w:rPr>
          <w:b/>
          <w:bCs/>
          <w:lang w:val="en-GB"/>
        </w:rPr>
        <w:t xml:space="preserve">select </w:t>
      </w:r>
      <w:r w:rsidR="001A2FE6" w:rsidRPr="00F620A4">
        <w:rPr>
          <w:b/>
          <w:bCs/>
          <w:lang w:val="en-GB"/>
        </w:rPr>
        <w:t>the</w:t>
      </w:r>
      <w:r w:rsidRPr="00F620A4">
        <w:rPr>
          <w:b/>
          <w:bCs/>
          <w:lang w:val="en-GB"/>
        </w:rPr>
        <w:t xml:space="preserve"> most important </w:t>
      </w:r>
      <w:r w:rsidR="00797500">
        <w:rPr>
          <w:b/>
          <w:bCs/>
          <w:lang w:val="en-GB"/>
        </w:rPr>
        <w:t xml:space="preserve">MNE </w:t>
      </w:r>
      <w:r w:rsidRPr="00F620A4">
        <w:rPr>
          <w:b/>
          <w:bCs/>
          <w:lang w:val="en-GB"/>
        </w:rPr>
        <w:t xml:space="preserve">groups, known as </w:t>
      </w:r>
      <w:r w:rsidR="00797500">
        <w:rPr>
          <w:b/>
          <w:bCs/>
          <w:lang w:val="en-GB"/>
        </w:rPr>
        <w:t>“</w:t>
      </w:r>
      <w:r w:rsidRPr="00F620A4">
        <w:rPr>
          <w:b/>
          <w:bCs/>
          <w:lang w:val="en-GB"/>
        </w:rPr>
        <w:t>Top-tier</w:t>
      </w:r>
      <w:r w:rsidR="00797500">
        <w:rPr>
          <w:b/>
          <w:bCs/>
          <w:lang w:val="en-GB"/>
        </w:rPr>
        <w:t>”</w:t>
      </w:r>
      <w:r w:rsidRPr="00F620A4">
        <w:rPr>
          <w:b/>
          <w:bCs/>
          <w:lang w:val="en-GB"/>
        </w:rPr>
        <w:t xml:space="preserve"> </w:t>
      </w:r>
      <w:r w:rsidR="00797500">
        <w:rPr>
          <w:b/>
          <w:bCs/>
          <w:lang w:val="en-GB"/>
        </w:rPr>
        <w:t xml:space="preserve">MNE </w:t>
      </w:r>
      <w:r w:rsidRPr="00F620A4">
        <w:rPr>
          <w:b/>
          <w:bCs/>
          <w:lang w:val="en-GB"/>
        </w:rPr>
        <w:t>groups</w:t>
      </w:r>
      <w:r w:rsidR="003F2C82">
        <w:rPr>
          <w:b/>
          <w:bCs/>
          <w:lang w:val="en-GB"/>
        </w:rPr>
        <w:t xml:space="preserve"> in an effective way</w:t>
      </w:r>
      <w:r w:rsidR="00317FB7">
        <w:rPr>
          <w:b/>
          <w:bCs/>
          <w:lang w:val="en-GB"/>
        </w:rPr>
        <w:t>. These are</w:t>
      </w:r>
      <w:r w:rsidRPr="00F620A4">
        <w:rPr>
          <w:b/>
          <w:bCs/>
          <w:lang w:val="en-GB"/>
        </w:rPr>
        <w:t xml:space="preserve"> 1,6</w:t>
      </w:r>
      <w:r w:rsidR="00423D8A">
        <w:rPr>
          <w:b/>
          <w:bCs/>
          <w:lang w:val="en-GB"/>
        </w:rPr>
        <w:t>69</w:t>
      </w:r>
      <w:r w:rsidRPr="00F620A4">
        <w:rPr>
          <w:b/>
          <w:bCs/>
          <w:lang w:val="en-GB"/>
        </w:rPr>
        <w:t xml:space="preserve"> </w:t>
      </w:r>
      <w:r w:rsidR="00797500">
        <w:rPr>
          <w:b/>
          <w:bCs/>
          <w:lang w:val="en-GB"/>
        </w:rPr>
        <w:t xml:space="preserve">MNE </w:t>
      </w:r>
      <w:r w:rsidRPr="00F620A4">
        <w:rPr>
          <w:b/>
          <w:bCs/>
          <w:lang w:val="en-GB"/>
        </w:rPr>
        <w:t>groups</w:t>
      </w:r>
      <w:r w:rsidR="00952106">
        <w:rPr>
          <w:b/>
          <w:bCs/>
          <w:lang w:val="en-GB"/>
        </w:rPr>
        <w:t xml:space="preserve">, </w:t>
      </w:r>
      <w:r w:rsidR="003F2C82">
        <w:rPr>
          <w:b/>
          <w:bCs/>
          <w:lang w:val="en-GB"/>
        </w:rPr>
        <w:t xml:space="preserve">corresponding </w:t>
      </w:r>
      <w:r w:rsidR="001A2FE6">
        <w:rPr>
          <w:b/>
          <w:bCs/>
          <w:lang w:val="en-GB"/>
        </w:rPr>
        <w:t>to 1</w:t>
      </w:r>
      <w:r w:rsidR="00952106">
        <w:rPr>
          <w:b/>
          <w:bCs/>
          <w:lang w:val="en-GB"/>
        </w:rPr>
        <w:t>%</w:t>
      </w:r>
      <w:r w:rsidRPr="00F620A4">
        <w:rPr>
          <w:b/>
          <w:bCs/>
          <w:lang w:val="en-GB"/>
        </w:rPr>
        <w:t xml:space="preserve"> </w:t>
      </w:r>
      <w:r w:rsidR="00952106">
        <w:rPr>
          <w:b/>
          <w:bCs/>
          <w:lang w:val="en-GB"/>
        </w:rPr>
        <w:t>on the total MNE groups population</w:t>
      </w:r>
      <w:r w:rsidR="003F2C82">
        <w:rPr>
          <w:b/>
          <w:bCs/>
          <w:lang w:val="en-GB"/>
        </w:rPr>
        <w:t xml:space="preserve"> in EGR and accounting for </w:t>
      </w:r>
      <w:r w:rsidR="005E021E">
        <w:rPr>
          <w:b/>
          <w:bCs/>
          <w:lang w:val="en-GB"/>
        </w:rPr>
        <w:t xml:space="preserve">more than </w:t>
      </w:r>
      <w:r w:rsidRPr="00F620A4">
        <w:rPr>
          <w:b/>
          <w:bCs/>
          <w:lang w:val="en-GB"/>
        </w:rPr>
        <w:t xml:space="preserve">50% employment </w:t>
      </w:r>
      <w:r w:rsidR="003F2C82" w:rsidRPr="00F620A4">
        <w:rPr>
          <w:b/>
          <w:bCs/>
          <w:lang w:val="en-GB"/>
        </w:rPr>
        <w:t xml:space="preserve">of </w:t>
      </w:r>
      <w:r w:rsidR="003F2C82">
        <w:rPr>
          <w:b/>
          <w:bCs/>
          <w:lang w:val="en-GB"/>
        </w:rPr>
        <w:t xml:space="preserve">MNE </w:t>
      </w:r>
      <w:r w:rsidR="003F2C82" w:rsidRPr="00F620A4">
        <w:rPr>
          <w:b/>
          <w:bCs/>
          <w:lang w:val="en-GB"/>
        </w:rPr>
        <w:t xml:space="preserve">group </w:t>
      </w:r>
      <w:r w:rsidRPr="00F620A4">
        <w:rPr>
          <w:b/>
          <w:bCs/>
          <w:lang w:val="en-GB"/>
        </w:rPr>
        <w:t>in Europe</w:t>
      </w:r>
      <w:r w:rsidR="009D32E8">
        <w:rPr>
          <w:b/>
          <w:bCs/>
          <w:lang w:val="en-GB"/>
        </w:rPr>
        <w:t xml:space="preserve"> ([</w:t>
      </w:r>
      <w:r w:rsidR="00636ED2">
        <w:rPr>
          <w:b/>
          <w:bCs/>
          <w:lang w:val="en-GB"/>
        </w:rPr>
        <w:t>4</w:t>
      </w:r>
      <w:r w:rsidR="009D32E8">
        <w:rPr>
          <w:b/>
          <w:bCs/>
          <w:lang w:val="en-GB"/>
        </w:rPr>
        <w:t>])</w:t>
      </w:r>
      <w:r w:rsidRPr="00F620A4">
        <w:rPr>
          <w:b/>
          <w:bCs/>
          <w:lang w:val="en-GB"/>
        </w:rPr>
        <w:t xml:space="preserve">, i.e., </w:t>
      </w:r>
      <w:r w:rsidR="00317CF9">
        <w:rPr>
          <w:b/>
          <w:bCs/>
          <w:lang w:val="en-GB"/>
        </w:rPr>
        <w:t xml:space="preserve">around </w:t>
      </w:r>
      <w:r w:rsidR="00317CF9" w:rsidRPr="00F620A4">
        <w:rPr>
          <w:b/>
          <w:bCs/>
          <w:lang w:val="en-GB"/>
        </w:rPr>
        <w:t>24</w:t>
      </w:r>
      <w:r w:rsidR="00D23007">
        <w:rPr>
          <w:b/>
          <w:bCs/>
          <w:lang w:val="en-GB"/>
        </w:rPr>
        <w:t>,</w:t>
      </w:r>
      <w:r w:rsidRPr="00F620A4">
        <w:rPr>
          <w:b/>
          <w:bCs/>
          <w:lang w:val="en-GB"/>
        </w:rPr>
        <w:t xml:space="preserve">5 million </w:t>
      </w:r>
      <w:r w:rsidR="00952106">
        <w:rPr>
          <w:b/>
          <w:bCs/>
          <w:lang w:val="en-GB"/>
        </w:rPr>
        <w:t>employees</w:t>
      </w:r>
      <w:r w:rsidRPr="00F620A4">
        <w:rPr>
          <w:lang w:val="en-GB"/>
        </w:rPr>
        <w:t>.</w:t>
      </w:r>
    </w:p>
    <w:p w14:paraId="3B673DEA" w14:textId="698068E3" w:rsidR="00824F19" w:rsidRDefault="00824F19" w:rsidP="007C30B1">
      <w:pPr>
        <w:jc w:val="both"/>
        <w:rPr>
          <w:lang w:val="en-GB"/>
        </w:rPr>
      </w:pPr>
      <w:r>
        <w:rPr>
          <w:lang w:val="en-GB"/>
        </w:rPr>
        <w:t>The list of Top</w:t>
      </w:r>
      <w:r w:rsidR="008839EF">
        <w:rPr>
          <w:lang w:val="en-GB"/>
        </w:rPr>
        <w:t>-</w:t>
      </w:r>
      <w:r>
        <w:rPr>
          <w:lang w:val="en-GB"/>
        </w:rPr>
        <w:t xml:space="preserve">tier MNE groups can </w:t>
      </w:r>
      <w:r w:rsidR="000A5915">
        <w:rPr>
          <w:lang w:val="en-GB"/>
        </w:rPr>
        <w:t xml:space="preserve">slightly </w:t>
      </w:r>
      <w:r w:rsidR="00BF1203" w:rsidRPr="00BF1203">
        <w:rPr>
          <w:lang w:val="en-GB"/>
        </w:rPr>
        <w:t>change</w:t>
      </w:r>
      <w:r>
        <w:rPr>
          <w:lang w:val="en-GB"/>
        </w:rPr>
        <w:t xml:space="preserve"> over time</w:t>
      </w:r>
      <w:r w:rsidR="00BF1203" w:rsidRPr="00BF1203">
        <w:rPr>
          <w:lang w:val="en-GB"/>
        </w:rPr>
        <w:t xml:space="preserve">, </w:t>
      </w:r>
      <w:r w:rsidR="00E07021">
        <w:rPr>
          <w:lang w:val="en-GB"/>
        </w:rPr>
        <w:t>however</w:t>
      </w:r>
      <w:r w:rsidR="00BF1203" w:rsidRPr="00BF1203">
        <w:rPr>
          <w:lang w:val="en-GB"/>
        </w:rPr>
        <w:t xml:space="preserve"> with </w:t>
      </w:r>
      <w:r w:rsidR="00E07021">
        <w:rPr>
          <w:lang w:val="en-GB"/>
        </w:rPr>
        <w:t>the</w:t>
      </w:r>
      <w:r w:rsidR="00BF1203" w:rsidRPr="00BF1203">
        <w:rPr>
          <w:lang w:val="en-GB"/>
        </w:rPr>
        <w:t xml:space="preserve"> decile-based approach and assuming stability of</w:t>
      </w:r>
      <w:r w:rsidR="00D23007">
        <w:rPr>
          <w:lang w:val="en-GB"/>
        </w:rPr>
        <w:t xml:space="preserve"> the</w:t>
      </w:r>
      <w:r w:rsidR="00BF1203" w:rsidRPr="00BF1203">
        <w:rPr>
          <w:lang w:val="en-GB"/>
        </w:rPr>
        <w:t xml:space="preserve"> </w:t>
      </w:r>
      <w:r>
        <w:rPr>
          <w:lang w:val="en-GB"/>
        </w:rPr>
        <w:t>largest ones</w:t>
      </w:r>
      <w:r w:rsidR="00BF1203" w:rsidRPr="00BF1203">
        <w:rPr>
          <w:lang w:val="en-GB"/>
        </w:rPr>
        <w:t xml:space="preserve">, </w:t>
      </w:r>
      <w:r>
        <w:rPr>
          <w:lang w:val="en-GB"/>
        </w:rPr>
        <w:t>it</w:t>
      </w:r>
      <w:r w:rsidR="00BF1203" w:rsidRPr="00BF1203">
        <w:rPr>
          <w:lang w:val="en-GB"/>
        </w:rPr>
        <w:t xml:space="preserve"> should remain sufficiently stable</w:t>
      </w:r>
      <w:r>
        <w:rPr>
          <w:lang w:val="en-GB"/>
        </w:rPr>
        <w:t xml:space="preserve"> in the </w:t>
      </w:r>
      <w:r w:rsidR="008839EF">
        <w:rPr>
          <w:lang w:val="en-GB"/>
        </w:rPr>
        <w:t>short-term</w:t>
      </w:r>
      <w:r>
        <w:rPr>
          <w:lang w:val="en-GB"/>
        </w:rPr>
        <w:t xml:space="preserve"> excluding cases of restructuring</w:t>
      </w:r>
      <w:r w:rsidR="00BF1203" w:rsidRPr="00BF1203">
        <w:rPr>
          <w:lang w:val="en-GB"/>
        </w:rPr>
        <w:t>.</w:t>
      </w:r>
      <w:r w:rsidR="00BF1203">
        <w:rPr>
          <w:lang w:val="en-GB"/>
        </w:rPr>
        <w:t xml:space="preserve"> </w:t>
      </w:r>
      <w:r>
        <w:rPr>
          <w:lang w:val="en-GB"/>
        </w:rPr>
        <w:t>The list can also be used to monitor the dynamic of the MNE groups’ structure and size, indicate restructuring cases, situation of errors, etc. T</w:t>
      </w:r>
      <w:r w:rsidR="00BF1203">
        <w:rPr>
          <w:lang w:val="en-GB"/>
        </w:rPr>
        <w:t>o reduce the workload related to the update</w:t>
      </w:r>
      <w:r>
        <w:rPr>
          <w:lang w:val="en-GB"/>
        </w:rPr>
        <w:t xml:space="preserve"> of the </w:t>
      </w:r>
      <w:r w:rsidR="001C7D48" w:rsidRPr="001C7D48">
        <w:rPr>
          <w:rFonts w:cs="Calibri"/>
          <w:lang w:val="en-GB"/>
        </w:rPr>
        <w:t>Top-tier</w:t>
      </w:r>
      <w:r>
        <w:rPr>
          <w:lang w:val="en-GB"/>
        </w:rPr>
        <w:t xml:space="preserve"> MNEs</w:t>
      </w:r>
      <w:r w:rsidR="00D23007">
        <w:rPr>
          <w:lang w:val="en-GB"/>
        </w:rPr>
        <w:t xml:space="preserve"> groups</w:t>
      </w:r>
      <w:r w:rsidR="00BF1203">
        <w:rPr>
          <w:lang w:val="en-GB"/>
        </w:rPr>
        <w:t xml:space="preserve">, </w:t>
      </w:r>
      <w:r>
        <w:rPr>
          <w:lang w:val="en-GB"/>
        </w:rPr>
        <w:t>Eurostat proposes also to i</w:t>
      </w:r>
      <w:r w:rsidR="00BF1203">
        <w:rPr>
          <w:lang w:val="en-GB"/>
        </w:rPr>
        <w:t>mprov</w:t>
      </w:r>
      <w:r w:rsidR="008839EF">
        <w:rPr>
          <w:lang w:val="en-GB"/>
        </w:rPr>
        <w:t>e</w:t>
      </w:r>
      <w:r w:rsidR="00BF1203">
        <w:rPr>
          <w:lang w:val="en-GB"/>
        </w:rPr>
        <w:t xml:space="preserve"> the current </w:t>
      </w:r>
      <w:r>
        <w:rPr>
          <w:lang w:val="en-GB"/>
        </w:rPr>
        <w:t xml:space="preserve">EGR production </w:t>
      </w:r>
      <w:r w:rsidR="00BF1203">
        <w:rPr>
          <w:lang w:val="en-GB"/>
        </w:rPr>
        <w:t>calendar,</w:t>
      </w:r>
      <w:r w:rsidR="00317FB7">
        <w:rPr>
          <w:lang w:val="en-GB"/>
        </w:rPr>
        <w:t xml:space="preserve"> while</w:t>
      </w:r>
      <w:r w:rsidR="00BF1203">
        <w:rPr>
          <w:lang w:val="en-GB"/>
        </w:rPr>
        <w:t xml:space="preserve"> </w:t>
      </w:r>
      <w:r>
        <w:rPr>
          <w:lang w:val="en-GB"/>
        </w:rPr>
        <w:t xml:space="preserve">including </w:t>
      </w:r>
      <w:r w:rsidR="00317FB7">
        <w:rPr>
          <w:lang w:val="en-GB"/>
        </w:rPr>
        <w:t>the provision of supporting functionalities, like for example comparison features with external data sources</w:t>
      </w:r>
      <w:r>
        <w:rPr>
          <w:lang w:val="en-GB"/>
        </w:rPr>
        <w:t>.</w:t>
      </w:r>
      <w:r w:rsidR="00BF1203">
        <w:rPr>
          <w:lang w:val="en-GB"/>
        </w:rPr>
        <w:t xml:space="preserve"> </w:t>
      </w:r>
    </w:p>
    <w:p w14:paraId="305E44B0" w14:textId="283638FE" w:rsidR="00BF641C" w:rsidRPr="00F620A4" w:rsidRDefault="00BF641C" w:rsidP="007C30B1">
      <w:pPr>
        <w:jc w:val="both"/>
        <w:rPr>
          <w:rStyle w:val="Fett"/>
          <w:b w:val="0"/>
          <w:bCs w:val="0"/>
          <w:lang w:val="en-GB"/>
        </w:rPr>
      </w:pPr>
      <w:r w:rsidRPr="00F620A4">
        <w:rPr>
          <w:rStyle w:val="Fett"/>
          <w:b w:val="0"/>
          <w:bCs w:val="0"/>
          <w:lang w:val="en-GB"/>
        </w:rPr>
        <w:t xml:space="preserve">The next step </w:t>
      </w:r>
      <w:r w:rsidR="000A5915">
        <w:rPr>
          <w:rStyle w:val="Fett"/>
          <w:b w:val="0"/>
          <w:bCs w:val="0"/>
          <w:lang w:val="en-GB"/>
        </w:rPr>
        <w:t xml:space="preserve">of the EGR adaptation </w:t>
      </w:r>
      <w:r w:rsidR="00C35453">
        <w:rPr>
          <w:rStyle w:val="Fett"/>
          <w:b w:val="0"/>
          <w:bCs w:val="0"/>
          <w:lang w:val="en-GB"/>
        </w:rPr>
        <w:t>wa</w:t>
      </w:r>
      <w:r w:rsidRPr="00F620A4">
        <w:rPr>
          <w:rStyle w:val="Fett"/>
          <w:b w:val="0"/>
          <w:bCs w:val="0"/>
          <w:lang w:val="en-GB"/>
        </w:rPr>
        <w:t xml:space="preserve">s to </w:t>
      </w:r>
      <w:r w:rsidR="00D23007">
        <w:rPr>
          <w:rStyle w:val="Fett"/>
          <w:b w:val="0"/>
          <w:bCs w:val="0"/>
          <w:lang w:val="en-GB"/>
        </w:rPr>
        <w:t xml:space="preserve">redefine </w:t>
      </w:r>
      <w:r w:rsidRPr="00F620A4">
        <w:rPr>
          <w:rStyle w:val="Fett"/>
          <w:b w:val="0"/>
          <w:bCs w:val="0"/>
          <w:lang w:val="en-GB"/>
        </w:rPr>
        <w:t xml:space="preserve">the process </w:t>
      </w:r>
      <w:r w:rsidR="00C35453">
        <w:rPr>
          <w:rStyle w:val="Fett"/>
          <w:b w:val="0"/>
          <w:bCs w:val="0"/>
          <w:lang w:val="en-GB"/>
        </w:rPr>
        <w:t xml:space="preserve">and system </w:t>
      </w:r>
      <w:r w:rsidR="008D7360">
        <w:rPr>
          <w:rStyle w:val="Fett"/>
          <w:b w:val="0"/>
          <w:bCs w:val="0"/>
          <w:lang w:val="en-GB"/>
        </w:rPr>
        <w:t>for</w:t>
      </w:r>
      <w:r w:rsidR="00C35453">
        <w:rPr>
          <w:rStyle w:val="Fett"/>
          <w:b w:val="0"/>
          <w:bCs w:val="0"/>
          <w:lang w:val="en-GB"/>
        </w:rPr>
        <w:t xml:space="preserve"> the</w:t>
      </w:r>
      <w:r w:rsidR="008D7360">
        <w:rPr>
          <w:rStyle w:val="Fett"/>
          <w:b w:val="0"/>
          <w:bCs w:val="0"/>
          <w:lang w:val="en-GB"/>
        </w:rPr>
        <w:t xml:space="preserve"> treatment of the selected </w:t>
      </w:r>
      <w:r w:rsidR="00C35453">
        <w:rPr>
          <w:rStyle w:val="Fett"/>
          <w:b w:val="0"/>
          <w:bCs w:val="0"/>
          <w:lang w:val="en-GB"/>
        </w:rPr>
        <w:t>Top</w:t>
      </w:r>
      <w:r w:rsidR="008839EF">
        <w:rPr>
          <w:rStyle w:val="Fett"/>
          <w:b w:val="0"/>
          <w:bCs w:val="0"/>
          <w:lang w:val="en-GB"/>
        </w:rPr>
        <w:t>-</w:t>
      </w:r>
      <w:r w:rsidR="00C35453">
        <w:rPr>
          <w:rStyle w:val="Fett"/>
          <w:b w:val="0"/>
          <w:bCs w:val="0"/>
          <w:lang w:val="en-GB"/>
        </w:rPr>
        <w:t xml:space="preserve">tier </w:t>
      </w:r>
      <w:r w:rsidR="008D7360">
        <w:rPr>
          <w:rStyle w:val="Fett"/>
          <w:b w:val="0"/>
          <w:bCs w:val="0"/>
          <w:lang w:val="en-GB"/>
        </w:rPr>
        <w:t xml:space="preserve">MNE groups </w:t>
      </w:r>
      <w:r w:rsidR="00C35453">
        <w:rPr>
          <w:rStyle w:val="Fett"/>
          <w:b w:val="0"/>
          <w:bCs w:val="0"/>
          <w:lang w:val="en-GB"/>
        </w:rPr>
        <w:t>in a cost-effective way</w:t>
      </w:r>
      <w:r w:rsidR="000A5915">
        <w:rPr>
          <w:rStyle w:val="Fett"/>
          <w:b w:val="0"/>
          <w:bCs w:val="0"/>
          <w:lang w:val="en-GB"/>
        </w:rPr>
        <w:t xml:space="preserve"> during European profiling</w:t>
      </w:r>
      <w:r w:rsidR="00C35453">
        <w:rPr>
          <w:rStyle w:val="Fett"/>
          <w:b w:val="0"/>
          <w:bCs w:val="0"/>
          <w:lang w:val="en-GB"/>
        </w:rPr>
        <w:t xml:space="preserve">, </w:t>
      </w:r>
      <w:r w:rsidR="00D23007">
        <w:rPr>
          <w:rStyle w:val="Fett"/>
          <w:b w:val="0"/>
          <w:bCs w:val="0"/>
          <w:lang w:val="en-GB"/>
        </w:rPr>
        <w:t xml:space="preserve">while </w:t>
      </w:r>
      <w:r w:rsidR="00C35453">
        <w:rPr>
          <w:rStyle w:val="Fett"/>
          <w:b w:val="0"/>
          <w:bCs w:val="0"/>
          <w:lang w:val="en-GB"/>
        </w:rPr>
        <w:t xml:space="preserve">at the same time </w:t>
      </w:r>
      <w:r w:rsidR="00D23007">
        <w:rPr>
          <w:rStyle w:val="Fett"/>
          <w:b w:val="0"/>
          <w:bCs w:val="0"/>
          <w:lang w:val="en-GB"/>
        </w:rPr>
        <w:t>fulfilling</w:t>
      </w:r>
      <w:r w:rsidRPr="00F620A4">
        <w:rPr>
          <w:rStyle w:val="Fett"/>
          <w:b w:val="0"/>
          <w:bCs w:val="0"/>
          <w:lang w:val="en-GB"/>
        </w:rPr>
        <w:t xml:space="preserve"> the </w:t>
      </w:r>
      <w:r w:rsidR="00C35453">
        <w:rPr>
          <w:rStyle w:val="Fett"/>
          <w:b w:val="0"/>
          <w:bCs w:val="0"/>
          <w:lang w:val="en-GB"/>
        </w:rPr>
        <w:t xml:space="preserve">new </w:t>
      </w:r>
      <w:r w:rsidRPr="00F620A4">
        <w:rPr>
          <w:rStyle w:val="Fett"/>
          <w:b w:val="0"/>
          <w:bCs w:val="0"/>
          <w:lang w:val="en-GB"/>
        </w:rPr>
        <w:t>requirements.</w:t>
      </w:r>
    </w:p>
    <w:p w14:paraId="2B7DF053" w14:textId="3FFFE243" w:rsidR="008D7360" w:rsidRPr="00047E3F" w:rsidRDefault="00317CF9" w:rsidP="008D7360">
      <w:pPr>
        <w:pStyle w:val="berschrift1"/>
      </w:pPr>
      <w:r>
        <w:rPr>
          <w:rStyle w:val="Fett"/>
          <w:b/>
          <w:bCs w:val="0"/>
        </w:rPr>
        <w:t xml:space="preserve">Implementing the </w:t>
      </w:r>
      <w:r w:rsidR="00147C10" w:rsidRPr="00F620A4">
        <w:rPr>
          <w:rStyle w:val="Fett"/>
          <w:b/>
          <w:bCs w:val="0"/>
        </w:rPr>
        <w:t xml:space="preserve">Top-tier </w:t>
      </w:r>
      <w:r w:rsidR="00F620A4">
        <w:rPr>
          <w:rStyle w:val="Fett"/>
          <w:b/>
          <w:bCs w:val="0"/>
        </w:rPr>
        <w:t>profiling process</w:t>
      </w:r>
      <w:r>
        <w:rPr>
          <w:rStyle w:val="Fett"/>
          <w:b/>
          <w:bCs w:val="0"/>
        </w:rPr>
        <w:t xml:space="preserve"> in EGR</w:t>
      </w:r>
    </w:p>
    <w:p w14:paraId="43BD86F6" w14:textId="4124FB8E" w:rsidR="00C2085F" w:rsidRDefault="003A5D75" w:rsidP="00C2085F">
      <w:pPr>
        <w:jc w:val="both"/>
        <w:rPr>
          <w:rFonts w:asciiTheme="minorHAnsi" w:hAnsiTheme="minorHAnsi" w:cstheme="minorHAnsi"/>
          <w:lang w:val="en-GB"/>
        </w:rPr>
      </w:pPr>
      <w:r w:rsidRPr="001C7D48">
        <w:rPr>
          <w:rFonts w:asciiTheme="minorHAnsi" w:hAnsiTheme="minorHAnsi" w:cstheme="minorHAnsi"/>
          <w:lang w:val="en-GB"/>
        </w:rPr>
        <w:t xml:space="preserve">Until 2022, </w:t>
      </w:r>
      <w:r w:rsidR="001C7D48">
        <w:rPr>
          <w:rFonts w:asciiTheme="minorHAnsi" w:hAnsiTheme="minorHAnsi" w:cstheme="minorHAnsi"/>
          <w:lang w:val="en-GB"/>
        </w:rPr>
        <w:t xml:space="preserve">European </w:t>
      </w:r>
      <w:r w:rsidR="001C7D48" w:rsidRPr="001C7D48">
        <w:rPr>
          <w:rFonts w:asciiTheme="minorHAnsi" w:hAnsiTheme="minorHAnsi" w:cstheme="minorHAnsi"/>
          <w:lang w:val="en-GB"/>
        </w:rPr>
        <w:t>profiling</w:t>
      </w:r>
      <w:r w:rsidRPr="001C7D48">
        <w:rPr>
          <w:rFonts w:asciiTheme="minorHAnsi" w:hAnsiTheme="minorHAnsi" w:cstheme="minorHAnsi"/>
          <w:lang w:val="en-GB"/>
        </w:rPr>
        <w:t xml:space="preserve"> was aimed at </w:t>
      </w:r>
      <w:r w:rsidRPr="001C7D48">
        <w:rPr>
          <w:rFonts w:asciiTheme="minorHAnsi" w:hAnsiTheme="minorHAnsi" w:cstheme="minorHAnsi"/>
          <w:color w:val="172B4D"/>
          <w:shd w:val="clear" w:color="auto" w:fill="FFFFFF"/>
          <w:lang w:val="en-GB"/>
        </w:rPr>
        <w:t xml:space="preserve">analysing the legal, </w:t>
      </w:r>
      <w:r w:rsidR="00317CF9" w:rsidRPr="001C7D48">
        <w:rPr>
          <w:rFonts w:asciiTheme="minorHAnsi" w:hAnsiTheme="minorHAnsi" w:cstheme="minorHAnsi"/>
          <w:color w:val="172B4D"/>
          <w:shd w:val="clear" w:color="auto" w:fill="FFFFFF"/>
          <w:lang w:val="en-GB"/>
        </w:rPr>
        <w:t>economic,</w:t>
      </w:r>
      <w:r w:rsidRPr="001C7D48">
        <w:rPr>
          <w:rFonts w:asciiTheme="minorHAnsi" w:hAnsiTheme="minorHAnsi" w:cstheme="minorHAnsi"/>
          <w:color w:val="172B4D"/>
          <w:shd w:val="clear" w:color="auto" w:fill="FFFFFF"/>
          <w:lang w:val="en-GB"/>
        </w:rPr>
        <w:t xml:space="preserve"> and operational structure of an enterprise group </w:t>
      </w:r>
      <w:r w:rsidR="00317CF9" w:rsidRPr="001C7D48">
        <w:rPr>
          <w:rFonts w:asciiTheme="minorHAnsi" w:hAnsiTheme="minorHAnsi" w:cstheme="minorHAnsi"/>
          <w:color w:val="172B4D"/>
          <w:shd w:val="clear" w:color="auto" w:fill="FFFFFF"/>
          <w:lang w:val="en-GB"/>
        </w:rPr>
        <w:t>to</w:t>
      </w:r>
      <w:r w:rsidRPr="001C7D48">
        <w:rPr>
          <w:rFonts w:asciiTheme="minorHAnsi" w:hAnsiTheme="minorHAnsi" w:cstheme="minorHAnsi"/>
          <w:color w:val="172B4D"/>
          <w:shd w:val="clear" w:color="auto" w:fill="FFFFFF"/>
          <w:lang w:val="en-GB"/>
        </w:rPr>
        <w:t xml:space="preserve"> get the best delineation of the statistical unit 'enterprise'</w:t>
      </w:r>
      <w:r w:rsidRPr="001C7D48">
        <w:rPr>
          <w:rFonts w:asciiTheme="minorHAnsi" w:hAnsiTheme="minorHAnsi" w:cstheme="minorHAnsi"/>
          <w:lang w:val="en-GB"/>
        </w:rPr>
        <w:t xml:space="preserve"> [5]. As</w:t>
      </w:r>
      <w:r w:rsidR="00BA755D" w:rsidRPr="001C7D48">
        <w:rPr>
          <w:rFonts w:asciiTheme="minorHAnsi" w:hAnsiTheme="minorHAnsi" w:cstheme="minorHAnsi"/>
          <w:lang w:val="en-GB"/>
        </w:rPr>
        <w:t xml:space="preserve"> </w:t>
      </w:r>
      <w:r w:rsidR="00C4636E">
        <w:rPr>
          <w:rFonts w:asciiTheme="minorHAnsi" w:hAnsiTheme="minorHAnsi" w:cstheme="minorHAnsi"/>
          <w:lang w:val="en-GB"/>
        </w:rPr>
        <w:t xml:space="preserve">the </w:t>
      </w:r>
      <w:r w:rsidR="00BA755D" w:rsidRPr="001C7D48">
        <w:rPr>
          <w:rFonts w:asciiTheme="minorHAnsi" w:hAnsiTheme="minorHAnsi" w:cstheme="minorHAnsi"/>
          <w:lang w:val="en-GB"/>
        </w:rPr>
        <w:t xml:space="preserve">MNE-groups are often active in several countries, </w:t>
      </w:r>
      <w:r w:rsidRPr="001C7D48">
        <w:rPr>
          <w:rFonts w:asciiTheme="minorHAnsi" w:hAnsiTheme="minorHAnsi" w:cstheme="minorHAnsi"/>
          <w:lang w:val="en-GB"/>
        </w:rPr>
        <w:t xml:space="preserve">this task </w:t>
      </w:r>
      <w:r w:rsidR="000A5915">
        <w:rPr>
          <w:rFonts w:asciiTheme="minorHAnsi" w:hAnsiTheme="minorHAnsi" w:cstheme="minorHAnsi"/>
          <w:lang w:val="en-GB"/>
        </w:rPr>
        <w:t>was</w:t>
      </w:r>
      <w:r w:rsidRPr="001C7D48">
        <w:rPr>
          <w:rFonts w:asciiTheme="minorHAnsi" w:hAnsiTheme="minorHAnsi" w:cstheme="minorHAnsi"/>
          <w:lang w:val="en-GB"/>
        </w:rPr>
        <w:t xml:space="preserve"> a collaborative activity</w:t>
      </w:r>
      <w:r w:rsidR="000A5915">
        <w:rPr>
          <w:rFonts w:asciiTheme="minorHAnsi" w:hAnsiTheme="minorHAnsi" w:cstheme="minorHAnsi"/>
          <w:lang w:val="en-GB"/>
        </w:rPr>
        <w:t xml:space="preserve">, </w:t>
      </w:r>
      <w:r w:rsidR="00B75A48" w:rsidRPr="001C7D48">
        <w:rPr>
          <w:rFonts w:asciiTheme="minorHAnsi" w:hAnsiTheme="minorHAnsi" w:cstheme="minorHAnsi"/>
          <w:lang w:val="en-GB"/>
        </w:rPr>
        <w:t xml:space="preserve">involving all the </w:t>
      </w:r>
      <w:r w:rsidR="00B75A48" w:rsidRPr="001C7D48">
        <w:rPr>
          <w:rFonts w:asciiTheme="minorHAnsi" w:hAnsiTheme="minorHAnsi" w:cstheme="minorHAnsi"/>
          <w:lang w:val="en-GB"/>
        </w:rPr>
        <w:lastRenderedPageBreak/>
        <w:t xml:space="preserve">countries that are hosting on their territory enterprises being part of the same </w:t>
      </w:r>
      <w:r w:rsidR="000A5915">
        <w:rPr>
          <w:rFonts w:asciiTheme="minorHAnsi" w:hAnsiTheme="minorHAnsi" w:cstheme="minorHAnsi"/>
          <w:lang w:val="en-GB"/>
        </w:rPr>
        <w:t>MNE</w:t>
      </w:r>
      <w:r w:rsidR="00B75A48" w:rsidRPr="001C7D48">
        <w:rPr>
          <w:rFonts w:asciiTheme="minorHAnsi" w:hAnsiTheme="minorHAnsi" w:cstheme="minorHAnsi"/>
          <w:lang w:val="en-GB"/>
        </w:rPr>
        <w:t xml:space="preserve"> groups</w:t>
      </w:r>
      <w:r w:rsidR="00300134">
        <w:rPr>
          <w:rFonts w:asciiTheme="minorHAnsi" w:hAnsiTheme="minorHAnsi" w:cstheme="minorHAnsi"/>
          <w:lang w:val="en-GB"/>
        </w:rPr>
        <w:t>. T</w:t>
      </w:r>
      <w:r w:rsidR="00BA755D" w:rsidRPr="001C7D48">
        <w:rPr>
          <w:rFonts w:asciiTheme="minorHAnsi" w:hAnsiTheme="minorHAnsi" w:cstheme="minorHAnsi"/>
          <w:lang w:val="en-GB"/>
        </w:rPr>
        <w:t>hree different roles</w:t>
      </w:r>
      <w:r w:rsidRPr="001C7D48">
        <w:rPr>
          <w:rFonts w:asciiTheme="minorHAnsi" w:hAnsiTheme="minorHAnsi" w:cstheme="minorHAnsi"/>
          <w:lang w:val="en-GB"/>
        </w:rPr>
        <w:t xml:space="preserve"> were set up</w:t>
      </w:r>
      <w:r w:rsidR="00BA755D" w:rsidRPr="001C7D48">
        <w:rPr>
          <w:rFonts w:asciiTheme="minorHAnsi" w:hAnsiTheme="minorHAnsi" w:cstheme="minorHAnsi"/>
          <w:lang w:val="en-GB"/>
        </w:rPr>
        <w:t>: the GDC country as the main responsible for the MNE group</w:t>
      </w:r>
      <w:r w:rsidR="0008161B" w:rsidRPr="001C7D48">
        <w:rPr>
          <w:rFonts w:asciiTheme="minorHAnsi" w:hAnsiTheme="minorHAnsi" w:cstheme="minorHAnsi"/>
          <w:lang w:val="en-GB"/>
        </w:rPr>
        <w:t>, the other countries as partner,</w:t>
      </w:r>
      <w:r w:rsidR="00300134">
        <w:rPr>
          <w:rFonts w:asciiTheme="minorHAnsi" w:hAnsiTheme="minorHAnsi" w:cstheme="minorHAnsi"/>
          <w:lang w:val="en-GB"/>
        </w:rPr>
        <w:t xml:space="preserve"> and</w:t>
      </w:r>
      <w:r w:rsidR="0008161B" w:rsidRPr="001C7D48">
        <w:rPr>
          <w:rFonts w:asciiTheme="minorHAnsi" w:hAnsiTheme="minorHAnsi" w:cstheme="minorHAnsi"/>
          <w:lang w:val="en-GB"/>
        </w:rPr>
        <w:t xml:space="preserve"> Eurostat as coordinator</w:t>
      </w:r>
      <w:r w:rsidR="00BA755D" w:rsidRPr="001C7D48">
        <w:rPr>
          <w:rFonts w:asciiTheme="minorHAnsi" w:hAnsiTheme="minorHAnsi" w:cstheme="minorHAnsi"/>
          <w:lang w:val="en-GB"/>
        </w:rPr>
        <w:t xml:space="preserve">. </w:t>
      </w:r>
      <w:r w:rsidR="00C4636E">
        <w:rPr>
          <w:rFonts w:asciiTheme="minorHAnsi" w:hAnsiTheme="minorHAnsi" w:cstheme="minorHAnsi"/>
          <w:lang w:val="en-GB"/>
        </w:rPr>
        <w:t>In this process t</w:t>
      </w:r>
      <w:r w:rsidR="00D479EF" w:rsidRPr="001C7D48">
        <w:rPr>
          <w:rFonts w:asciiTheme="minorHAnsi" w:hAnsiTheme="minorHAnsi" w:cstheme="minorHAnsi"/>
          <w:lang w:val="en-GB"/>
        </w:rPr>
        <w:t>he GDC country propose</w:t>
      </w:r>
      <w:r w:rsidR="00C4636E">
        <w:rPr>
          <w:rFonts w:asciiTheme="minorHAnsi" w:hAnsiTheme="minorHAnsi" w:cstheme="minorHAnsi"/>
          <w:lang w:val="en-GB"/>
        </w:rPr>
        <w:t>s</w:t>
      </w:r>
      <w:r w:rsidR="00D479EF" w:rsidRPr="001C7D48">
        <w:rPr>
          <w:rFonts w:asciiTheme="minorHAnsi" w:hAnsiTheme="minorHAnsi" w:cstheme="minorHAnsi"/>
          <w:lang w:val="en-GB"/>
        </w:rPr>
        <w:t xml:space="preserve"> an update of the </w:t>
      </w:r>
      <w:r w:rsidR="000A5915">
        <w:rPr>
          <w:rFonts w:asciiTheme="minorHAnsi" w:hAnsiTheme="minorHAnsi" w:cstheme="minorHAnsi"/>
          <w:lang w:val="en-GB"/>
        </w:rPr>
        <w:t xml:space="preserve">MNE </w:t>
      </w:r>
      <w:r w:rsidR="009B53D0" w:rsidRPr="001C7D48">
        <w:rPr>
          <w:rFonts w:asciiTheme="minorHAnsi" w:hAnsiTheme="minorHAnsi" w:cstheme="minorHAnsi"/>
          <w:lang w:val="en-GB"/>
        </w:rPr>
        <w:t>g</w:t>
      </w:r>
      <w:r w:rsidR="00D479EF" w:rsidRPr="001C7D48">
        <w:rPr>
          <w:rFonts w:asciiTheme="minorHAnsi" w:hAnsiTheme="minorHAnsi" w:cstheme="minorHAnsi"/>
          <w:lang w:val="en-GB"/>
        </w:rPr>
        <w:t xml:space="preserve">roup's perimeter and a proposed division into </w:t>
      </w:r>
      <w:r w:rsidR="000A5915">
        <w:rPr>
          <w:rFonts w:asciiTheme="minorHAnsi" w:hAnsiTheme="minorHAnsi" w:cstheme="minorHAnsi"/>
          <w:lang w:val="en-GB"/>
        </w:rPr>
        <w:t>its main economic activities</w:t>
      </w:r>
      <w:r w:rsidR="00D479EF" w:rsidRPr="001C7D48">
        <w:rPr>
          <w:rFonts w:asciiTheme="minorHAnsi" w:hAnsiTheme="minorHAnsi" w:cstheme="minorHAnsi"/>
          <w:lang w:val="en-GB"/>
        </w:rPr>
        <w:t>. This information is shared with the partner</w:t>
      </w:r>
      <w:r w:rsidR="000A5915">
        <w:rPr>
          <w:rFonts w:asciiTheme="minorHAnsi" w:hAnsiTheme="minorHAnsi" w:cstheme="minorHAnsi"/>
          <w:lang w:val="en-GB"/>
        </w:rPr>
        <w:t>ing</w:t>
      </w:r>
      <w:r w:rsidR="00D479EF" w:rsidRPr="001C7D48">
        <w:rPr>
          <w:rFonts w:asciiTheme="minorHAnsi" w:hAnsiTheme="minorHAnsi" w:cstheme="minorHAnsi"/>
          <w:lang w:val="en-GB"/>
        </w:rPr>
        <w:t xml:space="preserve"> countries, which can propose changes to achieve a common </w:t>
      </w:r>
      <w:r w:rsidR="000A5915">
        <w:rPr>
          <w:rFonts w:asciiTheme="minorHAnsi" w:hAnsiTheme="minorHAnsi" w:cstheme="minorHAnsi"/>
          <w:lang w:val="en-GB"/>
        </w:rPr>
        <w:t>statistical delineation of the MNE groups</w:t>
      </w:r>
      <w:r w:rsidR="00D479EF" w:rsidRPr="001C7D48">
        <w:rPr>
          <w:rFonts w:asciiTheme="minorHAnsi" w:hAnsiTheme="minorHAnsi" w:cstheme="minorHAnsi"/>
          <w:lang w:val="en-GB"/>
        </w:rPr>
        <w:t xml:space="preserve">, </w:t>
      </w:r>
      <w:r w:rsidR="000A5915">
        <w:rPr>
          <w:rFonts w:asciiTheme="minorHAnsi" w:hAnsiTheme="minorHAnsi" w:cstheme="minorHAnsi"/>
          <w:lang w:val="en-GB"/>
        </w:rPr>
        <w:t xml:space="preserve">including </w:t>
      </w:r>
      <w:r w:rsidR="00D479EF" w:rsidRPr="001C7D48">
        <w:rPr>
          <w:rFonts w:asciiTheme="minorHAnsi" w:hAnsiTheme="minorHAnsi" w:cstheme="minorHAnsi"/>
          <w:lang w:val="en-GB"/>
        </w:rPr>
        <w:t>the correct</w:t>
      </w:r>
      <w:r w:rsidR="000A5915">
        <w:rPr>
          <w:rFonts w:asciiTheme="minorHAnsi" w:hAnsiTheme="minorHAnsi" w:cstheme="minorHAnsi"/>
          <w:lang w:val="en-GB"/>
        </w:rPr>
        <w:t xml:space="preserve"> statistical unit enterprises in each country. </w:t>
      </w:r>
      <w:r w:rsidR="00BA755D" w:rsidRPr="001C7D48">
        <w:rPr>
          <w:rFonts w:asciiTheme="minorHAnsi" w:hAnsiTheme="minorHAnsi" w:cstheme="minorHAnsi"/>
          <w:lang w:val="en-GB"/>
        </w:rPr>
        <w:t xml:space="preserve"> </w:t>
      </w:r>
      <w:r w:rsidR="009B53D0" w:rsidRPr="001C7D48">
        <w:rPr>
          <w:rFonts w:asciiTheme="minorHAnsi" w:hAnsiTheme="minorHAnsi" w:cstheme="minorHAnsi"/>
          <w:lang w:val="en-GB"/>
        </w:rPr>
        <w:t>In some cases, the GDC country can directly interview t</w:t>
      </w:r>
      <w:r w:rsidR="00BA755D" w:rsidRPr="001C7D48">
        <w:rPr>
          <w:rFonts w:asciiTheme="minorHAnsi" w:hAnsiTheme="minorHAnsi" w:cstheme="minorHAnsi"/>
          <w:lang w:val="en-GB"/>
        </w:rPr>
        <w:t xml:space="preserve">he MNE groups, increasing the quality of the data and, in some cases, reducing the amount of manual research required. </w:t>
      </w:r>
      <w:r w:rsidR="0059099D" w:rsidRPr="001C7D48">
        <w:rPr>
          <w:rFonts w:asciiTheme="minorHAnsi" w:hAnsiTheme="minorHAnsi" w:cstheme="minorHAnsi"/>
          <w:lang w:val="en-GB"/>
        </w:rPr>
        <w:t>Eurostat has developed a</w:t>
      </w:r>
      <w:r w:rsidRPr="001C7D48">
        <w:rPr>
          <w:rFonts w:asciiTheme="minorHAnsi" w:hAnsiTheme="minorHAnsi" w:cstheme="minorHAnsi"/>
          <w:lang w:val="en-GB"/>
        </w:rPr>
        <w:t>n</w:t>
      </w:r>
      <w:r w:rsidR="0059099D" w:rsidRPr="001C7D48">
        <w:rPr>
          <w:rFonts w:asciiTheme="minorHAnsi" w:hAnsiTheme="minorHAnsi" w:cstheme="minorHAnsi"/>
          <w:lang w:val="en-GB"/>
        </w:rPr>
        <w:t xml:space="preserve"> IT tool to facilitate the</w:t>
      </w:r>
      <w:r w:rsidR="000A5915">
        <w:rPr>
          <w:rFonts w:asciiTheme="minorHAnsi" w:hAnsiTheme="minorHAnsi" w:cstheme="minorHAnsi"/>
          <w:lang w:val="en-GB"/>
        </w:rPr>
        <w:t xml:space="preserve"> European profiling activity</w:t>
      </w:r>
      <w:r w:rsidR="0059099D" w:rsidRPr="001C7D48">
        <w:rPr>
          <w:rFonts w:asciiTheme="minorHAnsi" w:hAnsiTheme="minorHAnsi" w:cstheme="minorHAnsi"/>
          <w:lang w:val="en-GB"/>
        </w:rPr>
        <w:t xml:space="preserve"> called </w:t>
      </w:r>
      <w:r w:rsidR="00BA755D" w:rsidRPr="001C7D48">
        <w:rPr>
          <w:rFonts w:asciiTheme="minorHAnsi" w:hAnsiTheme="minorHAnsi" w:cstheme="minorHAnsi"/>
          <w:lang w:val="en-GB"/>
        </w:rPr>
        <w:t>IPT</w:t>
      </w:r>
      <w:r w:rsidR="0059099D" w:rsidRPr="001C7D48">
        <w:rPr>
          <w:rFonts w:asciiTheme="minorHAnsi" w:hAnsiTheme="minorHAnsi" w:cstheme="minorHAnsi"/>
          <w:lang w:val="en-GB"/>
        </w:rPr>
        <w:t xml:space="preserve"> (Interactive Profiling Tool).</w:t>
      </w:r>
      <w:r w:rsidR="000A5915">
        <w:rPr>
          <w:rFonts w:asciiTheme="minorHAnsi" w:hAnsiTheme="minorHAnsi" w:cstheme="minorHAnsi"/>
          <w:lang w:val="en-GB"/>
        </w:rPr>
        <w:t xml:space="preserve"> Results of </w:t>
      </w:r>
      <w:r w:rsidR="001313F8">
        <w:rPr>
          <w:rFonts w:asciiTheme="minorHAnsi" w:hAnsiTheme="minorHAnsi" w:cstheme="minorHAnsi"/>
          <w:lang w:val="en-GB"/>
        </w:rPr>
        <w:t xml:space="preserve">European Profiling </w:t>
      </w:r>
      <w:r w:rsidR="000A5915">
        <w:rPr>
          <w:rFonts w:asciiTheme="minorHAnsi" w:hAnsiTheme="minorHAnsi" w:cstheme="minorHAnsi"/>
          <w:lang w:val="en-GB"/>
        </w:rPr>
        <w:t>are available in</w:t>
      </w:r>
      <w:r w:rsidR="005E0876">
        <w:rPr>
          <w:rFonts w:asciiTheme="minorHAnsi" w:hAnsiTheme="minorHAnsi" w:cstheme="minorHAnsi"/>
          <w:lang w:val="en-GB"/>
        </w:rPr>
        <w:t xml:space="preserve"> </w:t>
      </w:r>
      <w:hyperlink r:id="rId10" w:history="1">
        <w:r w:rsidR="005E0876">
          <w:rPr>
            <w:rStyle w:val="Hyperlink"/>
          </w:rPr>
          <w:t>European profiling - experiences of National statistical institutes - Statistics Explained (europa.eu)</w:t>
        </w:r>
      </w:hyperlink>
      <w:r w:rsidR="005E0876">
        <w:t>.</w:t>
      </w:r>
      <w:r w:rsidR="000A5915">
        <w:rPr>
          <w:rFonts w:asciiTheme="minorHAnsi" w:hAnsiTheme="minorHAnsi" w:cstheme="minorHAnsi"/>
          <w:lang w:val="en-GB"/>
        </w:rPr>
        <w:t xml:space="preserve"> </w:t>
      </w:r>
    </w:p>
    <w:p w14:paraId="5B334B31" w14:textId="14B831F9" w:rsidR="00444DBF" w:rsidRDefault="00BA755D" w:rsidP="00444DBF">
      <w:pPr>
        <w:jc w:val="both"/>
        <w:rPr>
          <w:lang w:val="en-GB"/>
        </w:rPr>
      </w:pPr>
      <w:r>
        <w:rPr>
          <w:lang w:val="en-GB"/>
        </w:rPr>
        <w:t xml:space="preserve"> </w:t>
      </w:r>
      <w:r w:rsidR="00CF5AD3" w:rsidRPr="00047E3F">
        <w:rPr>
          <w:lang w:val="en-GB"/>
        </w:rPr>
        <w:t>E</w:t>
      </w:r>
      <w:r w:rsidR="005B05D1">
        <w:rPr>
          <w:lang w:val="en-GB"/>
        </w:rPr>
        <w:t xml:space="preserve">uropean profiling </w:t>
      </w:r>
      <w:r w:rsidR="00CF5AD3" w:rsidRPr="00047E3F">
        <w:rPr>
          <w:lang w:val="en-GB"/>
        </w:rPr>
        <w:t xml:space="preserve">requires </w:t>
      </w:r>
      <w:r>
        <w:rPr>
          <w:lang w:val="en-GB"/>
        </w:rPr>
        <w:t xml:space="preserve">substantial </w:t>
      </w:r>
      <w:r w:rsidR="00CF5AD3" w:rsidRPr="00047E3F">
        <w:rPr>
          <w:lang w:val="en-GB"/>
        </w:rPr>
        <w:t xml:space="preserve">resources to be mobilised </w:t>
      </w:r>
      <w:r>
        <w:rPr>
          <w:lang w:val="en-GB"/>
        </w:rPr>
        <w:t xml:space="preserve">by </w:t>
      </w:r>
      <w:r w:rsidR="00D42299">
        <w:rPr>
          <w:lang w:val="en-GB"/>
        </w:rPr>
        <w:t xml:space="preserve">the </w:t>
      </w:r>
      <w:r w:rsidR="005B05D1">
        <w:rPr>
          <w:lang w:val="en-GB"/>
        </w:rPr>
        <w:t xml:space="preserve">NSIs and cannot be used to regularly monitor the 1660 </w:t>
      </w:r>
      <w:r w:rsidR="001C7D48">
        <w:rPr>
          <w:lang w:val="en-GB"/>
        </w:rPr>
        <w:t>Top-tier</w:t>
      </w:r>
      <w:r w:rsidR="005B05D1">
        <w:rPr>
          <w:lang w:val="en-GB"/>
        </w:rPr>
        <w:t xml:space="preserve"> MNE groups is a </w:t>
      </w:r>
      <w:r w:rsidR="001C7D48">
        <w:rPr>
          <w:lang w:val="en-GB"/>
        </w:rPr>
        <w:t>cost-effective</w:t>
      </w:r>
      <w:r w:rsidR="005B05D1">
        <w:rPr>
          <w:lang w:val="en-GB"/>
        </w:rPr>
        <w:t xml:space="preserve"> way. </w:t>
      </w:r>
      <w:r w:rsidR="00FC0647">
        <w:rPr>
          <w:lang w:val="en-GB"/>
        </w:rPr>
        <w:t>Therefore,</w:t>
      </w:r>
      <w:r w:rsidR="00CF5AD3" w:rsidRPr="00047E3F">
        <w:rPr>
          <w:lang w:val="en-GB"/>
        </w:rPr>
        <w:t xml:space="preserve"> the process </w:t>
      </w:r>
      <w:r w:rsidR="00D42299">
        <w:rPr>
          <w:lang w:val="en-GB"/>
        </w:rPr>
        <w:t xml:space="preserve">had to be reviewed </w:t>
      </w:r>
      <w:r w:rsidR="00CF5AD3" w:rsidRPr="00047E3F">
        <w:rPr>
          <w:lang w:val="en-GB"/>
        </w:rPr>
        <w:t>a</w:t>
      </w:r>
      <w:r w:rsidR="00D42299">
        <w:rPr>
          <w:lang w:val="en-GB"/>
        </w:rPr>
        <w:t>nd made a</w:t>
      </w:r>
      <w:r w:rsidR="00CF5AD3" w:rsidRPr="00047E3F">
        <w:rPr>
          <w:lang w:val="en-GB"/>
        </w:rPr>
        <w:t xml:space="preserve">s intelligent as possible and supported by </w:t>
      </w:r>
      <w:r w:rsidR="00D42299">
        <w:rPr>
          <w:lang w:val="en-GB"/>
        </w:rPr>
        <w:t xml:space="preserve">efficient </w:t>
      </w:r>
      <w:r w:rsidR="00CF5AD3" w:rsidRPr="00047E3F">
        <w:rPr>
          <w:lang w:val="en-GB"/>
        </w:rPr>
        <w:t xml:space="preserve">tools. For this reason, </w:t>
      </w:r>
      <w:r w:rsidR="00D42299">
        <w:rPr>
          <w:lang w:val="en-GB"/>
        </w:rPr>
        <w:t xml:space="preserve">Eurostat with the support of the task force, </w:t>
      </w:r>
      <w:r w:rsidR="00CF5AD3" w:rsidRPr="00047E3F">
        <w:rPr>
          <w:lang w:val="en-GB"/>
        </w:rPr>
        <w:t xml:space="preserve">developed a new </w:t>
      </w:r>
      <w:r w:rsidR="00C35453">
        <w:rPr>
          <w:lang w:val="en-GB"/>
        </w:rPr>
        <w:t xml:space="preserve">and </w:t>
      </w:r>
      <w:r w:rsidR="00CF5AD3" w:rsidRPr="00047E3F">
        <w:rPr>
          <w:lang w:val="en-GB"/>
        </w:rPr>
        <w:t>lean</w:t>
      </w:r>
      <w:r w:rsidR="00C35453">
        <w:rPr>
          <w:lang w:val="en-GB"/>
        </w:rPr>
        <w:t>er</w:t>
      </w:r>
      <w:r w:rsidR="00CF5AD3" w:rsidRPr="00047E3F">
        <w:rPr>
          <w:lang w:val="en-GB"/>
        </w:rPr>
        <w:t xml:space="preserve"> </w:t>
      </w:r>
      <w:r w:rsidR="005B05D1">
        <w:rPr>
          <w:lang w:val="en-GB"/>
        </w:rPr>
        <w:t xml:space="preserve">European </w:t>
      </w:r>
      <w:r w:rsidR="00D42299">
        <w:rPr>
          <w:lang w:val="en-GB"/>
        </w:rPr>
        <w:t xml:space="preserve">profiling </w:t>
      </w:r>
      <w:r w:rsidR="00CF5AD3" w:rsidRPr="00047E3F">
        <w:rPr>
          <w:lang w:val="en-GB"/>
        </w:rPr>
        <w:t xml:space="preserve">process for the treatment of </w:t>
      </w:r>
      <w:r w:rsidR="00C35453">
        <w:rPr>
          <w:lang w:val="en-GB"/>
        </w:rPr>
        <w:t>the Top</w:t>
      </w:r>
      <w:r w:rsidR="001C7D48">
        <w:rPr>
          <w:lang w:val="en-GB"/>
        </w:rPr>
        <w:t>-</w:t>
      </w:r>
      <w:r w:rsidR="00C35453">
        <w:rPr>
          <w:lang w:val="en-GB"/>
        </w:rPr>
        <w:t>tier MNE groups</w:t>
      </w:r>
      <w:r w:rsidR="00CF5AD3" w:rsidRPr="00047E3F">
        <w:rPr>
          <w:lang w:val="en-GB"/>
        </w:rPr>
        <w:t xml:space="preserve"> </w:t>
      </w:r>
      <w:r w:rsidR="00D42299">
        <w:rPr>
          <w:lang w:val="en-GB"/>
        </w:rPr>
        <w:t xml:space="preserve">(named </w:t>
      </w:r>
      <w:r w:rsidR="001C7D48">
        <w:rPr>
          <w:lang w:val="en-GB"/>
        </w:rPr>
        <w:t>Top-tier</w:t>
      </w:r>
      <w:r w:rsidR="00D42299">
        <w:rPr>
          <w:lang w:val="en-GB"/>
        </w:rPr>
        <w:t xml:space="preserve"> profiling process) </w:t>
      </w:r>
      <w:r w:rsidR="00CF5AD3" w:rsidRPr="00047E3F">
        <w:rPr>
          <w:lang w:val="en-GB"/>
        </w:rPr>
        <w:t xml:space="preserve">and </w:t>
      </w:r>
      <w:r w:rsidR="00E30990">
        <w:rPr>
          <w:lang w:val="en-GB"/>
        </w:rPr>
        <w:t>adapt</w:t>
      </w:r>
      <w:r w:rsidR="00D42299">
        <w:rPr>
          <w:lang w:val="en-GB"/>
        </w:rPr>
        <w:t xml:space="preserve">ed </w:t>
      </w:r>
      <w:r w:rsidR="00E30990">
        <w:rPr>
          <w:lang w:val="en-GB"/>
        </w:rPr>
        <w:t xml:space="preserve">the existing </w:t>
      </w:r>
      <w:r w:rsidR="00CF5AD3" w:rsidRPr="00047E3F">
        <w:rPr>
          <w:lang w:val="en-GB"/>
        </w:rPr>
        <w:t>t</w:t>
      </w:r>
      <w:r w:rsidR="00E30990">
        <w:rPr>
          <w:lang w:val="en-GB"/>
        </w:rPr>
        <w:t xml:space="preserve">ools </w:t>
      </w:r>
      <w:r w:rsidR="00D42299">
        <w:rPr>
          <w:lang w:val="en-GB"/>
        </w:rPr>
        <w:t>for it</w:t>
      </w:r>
      <w:r w:rsidR="00CF5AD3" w:rsidRPr="00047E3F">
        <w:rPr>
          <w:lang w:val="en-GB"/>
        </w:rPr>
        <w:t>.</w:t>
      </w:r>
      <w:r w:rsidR="00444DBF">
        <w:rPr>
          <w:lang w:val="en-GB"/>
        </w:rPr>
        <w:t xml:space="preserve"> </w:t>
      </w:r>
      <w:r w:rsidR="005B05D1">
        <w:rPr>
          <w:lang w:val="en-GB"/>
        </w:rPr>
        <w:t xml:space="preserve">Differently from the past European </w:t>
      </w:r>
      <w:r w:rsidR="00C4636E">
        <w:rPr>
          <w:lang w:val="en-GB"/>
        </w:rPr>
        <w:t>profiling</w:t>
      </w:r>
      <w:r w:rsidR="005B05D1">
        <w:rPr>
          <w:lang w:val="en-GB"/>
        </w:rPr>
        <w:t>,</w:t>
      </w:r>
      <w:r w:rsidR="00C4636E">
        <w:rPr>
          <w:lang w:val="en-GB"/>
        </w:rPr>
        <w:t xml:space="preserve"> the </w:t>
      </w:r>
      <w:r w:rsidR="00A47DA0">
        <w:rPr>
          <w:lang w:val="en-GB"/>
        </w:rPr>
        <w:t>T</w:t>
      </w:r>
      <w:r w:rsidR="00C4636E">
        <w:rPr>
          <w:lang w:val="en-GB"/>
        </w:rPr>
        <w:t>op</w:t>
      </w:r>
      <w:r w:rsidR="00A47DA0">
        <w:rPr>
          <w:lang w:val="en-GB"/>
        </w:rPr>
        <w:t>-</w:t>
      </w:r>
      <w:r w:rsidR="00C4636E">
        <w:rPr>
          <w:lang w:val="en-GB"/>
        </w:rPr>
        <w:t xml:space="preserve">tier profiling </w:t>
      </w:r>
      <w:r w:rsidR="00E554B8">
        <w:rPr>
          <w:lang w:val="en-GB"/>
        </w:rPr>
        <w:t>process focuses</w:t>
      </w:r>
      <w:r w:rsidR="00444DBF">
        <w:rPr>
          <w:lang w:val="en-GB"/>
        </w:rPr>
        <w:t xml:space="preserve"> </w:t>
      </w:r>
      <w:r w:rsidR="005B05D1">
        <w:rPr>
          <w:lang w:val="en-GB"/>
        </w:rPr>
        <w:t xml:space="preserve">the collaborative work </w:t>
      </w:r>
      <w:r w:rsidR="00444DBF">
        <w:rPr>
          <w:lang w:val="en-GB"/>
        </w:rPr>
        <w:t xml:space="preserve">on the structure of the </w:t>
      </w:r>
      <w:r w:rsidR="001C7D48">
        <w:rPr>
          <w:lang w:val="en-GB"/>
        </w:rPr>
        <w:t>Top-tier</w:t>
      </w:r>
      <w:r w:rsidR="00444DBF">
        <w:rPr>
          <w:lang w:val="en-GB"/>
        </w:rPr>
        <w:t xml:space="preserve"> MNE</w:t>
      </w:r>
      <w:r w:rsidR="000B5D51">
        <w:rPr>
          <w:lang w:val="en-GB"/>
        </w:rPr>
        <w:t xml:space="preserve"> group</w:t>
      </w:r>
      <w:r w:rsidR="00C4636E">
        <w:rPr>
          <w:lang w:val="en-GB"/>
        </w:rPr>
        <w:t>s</w:t>
      </w:r>
      <w:r w:rsidR="00444DBF">
        <w:rPr>
          <w:lang w:val="en-GB"/>
        </w:rPr>
        <w:t xml:space="preserve"> selected by the CSI index and leave</w:t>
      </w:r>
      <w:r w:rsidR="005B05D1">
        <w:rPr>
          <w:lang w:val="en-GB"/>
        </w:rPr>
        <w:t>s</w:t>
      </w:r>
      <w:r w:rsidR="00444DBF">
        <w:rPr>
          <w:lang w:val="en-GB"/>
        </w:rPr>
        <w:t xml:space="preserve"> the </w:t>
      </w:r>
      <w:r w:rsidR="005B05D1">
        <w:rPr>
          <w:lang w:val="en-GB"/>
        </w:rPr>
        <w:t>delineation</w:t>
      </w:r>
      <w:r w:rsidR="00444DBF">
        <w:rPr>
          <w:lang w:val="en-GB"/>
        </w:rPr>
        <w:t xml:space="preserve"> of </w:t>
      </w:r>
      <w:r w:rsidR="005B05D1">
        <w:rPr>
          <w:lang w:val="en-GB"/>
        </w:rPr>
        <w:t xml:space="preserve">the statistical unit </w:t>
      </w:r>
      <w:r w:rsidR="00444DBF">
        <w:rPr>
          <w:lang w:val="en-GB"/>
        </w:rPr>
        <w:t>enterprises at national level</w:t>
      </w:r>
      <w:r w:rsidR="005B05D1">
        <w:rPr>
          <w:lang w:val="en-GB"/>
        </w:rPr>
        <w:t xml:space="preserve">, allowing NSIs to deliver them to </w:t>
      </w:r>
      <w:r w:rsidR="00C4636E">
        <w:rPr>
          <w:lang w:val="en-GB"/>
        </w:rPr>
        <w:t xml:space="preserve">EGR </w:t>
      </w:r>
      <w:r w:rsidR="005B05D1">
        <w:rPr>
          <w:lang w:val="en-GB"/>
        </w:rPr>
        <w:t xml:space="preserve">during </w:t>
      </w:r>
      <w:r w:rsidR="00C4636E">
        <w:rPr>
          <w:lang w:val="en-GB"/>
        </w:rPr>
        <w:t xml:space="preserve">the usual </w:t>
      </w:r>
      <w:r w:rsidR="00AB63DF">
        <w:rPr>
          <w:lang w:val="en-GB"/>
        </w:rPr>
        <w:t xml:space="preserve">EGR </w:t>
      </w:r>
      <w:r w:rsidR="00C4636E">
        <w:rPr>
          <w:lang w:val="en-GB"/>
        </w:rPr>
        <w:t>annual process.</w:t>
      </w:r>
      <w:r w:rsidR="00300134">
        <w:rPr>
          <w:lang w:val="en-GB"/>
        </w:rPr>
        <w:t xml:space="preserve"> </w:t>
      </w:r>
      <w:r w:rsidR="005B05D1">
        <w:rPr>
          <w:lang w:val="en-GB"/>
        </w:rPr>
        <w:t>However, t</w:t>
      </w:r>
      <w:r w:rsidR="00300134">
        <w:rPr>
          <w:lang w:val="en-GB"/>
        </w:rPr>
        <w:t xml:space="preserve">he </w:t>
      </w:r>
      <w:r w:rsidR="00AB63DF">
        <w:rPr>
          <w:lang w:val="en-GB"/>
        </w:rPr>
        <w:t xml:space="preserve">profiling </w:t>
      </w:r>
      <w:r w:rsidR="00300134">
        <w:rPr>
          <w:lang w:val="en-GB"/>
        </w:rPr>
        <w:t xml:space="preserve">tool </w:t>
      </w:r>
      <w:r w:rsidR="005B05D1">
        <w:rPr>
          <w:lang w:val="en-GB"/>
        </w:rPr>
        <w:t xml:space="preserve">will continue to </w:t>
      </w:r>
      <w:r w:rsidR="00300134">
        <w:rPr>
          <w:lang w:val="en-GB"/>
        </w:rPr>
        <w:t>allow th</w:t>
      </w:r>
      <w:r w:rsidR="005B05D1">
        <w:rPr>
          <w:lang w:val="en-GB"/>
        </w:rPr>
        <w:t>ose</w:t>
      </w:r>
      <w:r w:rsidR="00300134">
        <w:rPr>
          <w:lang w:val="en-GB"/>
        </w:rPr>
        <w:t xml:space="preserve"> NSIs </w:t>
      </w:r>
      <w:r w:rsidR="005B05D1">
        <w:rPr>
          <w:lang w:val="en-GB"/>
        </w:rPr>
        <w:t xml:space="preserve">who </w:t>
      </w:r>
      <w:r w:rsidR="00300134">
        <w:rPr>
          <w:lang w:val="en-GB"/>
        </w:rPr>
        <w:t xml:space="preserve">want to perform </w:t>
      </w:r>
      <w:r w:rsidR="005B05D1">
        <w:rPr>
          <w:lang w:val="en-GB"/>
        </w:rPr>
        <w:t>the</w:t>
      </w:r>
      <w:r w:rsidR="00300134">
        <w:rPr>
          <w:lang w:val="en-GB"/>
        </w:rPr>
        <w:t xml:space="preserve"> enterprise delineation</w:t>
      </w:r>
      <w:r w:rsidR="005B05D1">
        <w:rPr>
          <w:lang w:val="en-GB"/>
        </w:rPr>
        <w:t xml:space="preserve"> to continue to do so</w:t>
      </w:r>
      <w:r w:rsidR="001E19BB">
        <w:rPr>
          <w:lang w:val="en-GB"/>
        </w:rPr>
        <w:t>, too.</w:t>
      </w:r>
    </w:p>
    <w:p w14:paraId="3D02898E" w14:textId="7961C9A9" w:rsidR="00F74A5E" w:rsidRPr="001C7D48" w:rsidRDefault="00D42299" w:rsidP="001C7D48">
      <w:pPr>
        <w:jc w:val="both"/>
        <w:rPr>
          <w:rFonts w:asciiTheme="minorHAnsi" w:hAnsiTheme="minorHAnsi" w:cstheme="minorHAnsi"/>
        </w:rPr>
      </w:pPr>
      <w:r w:rsidRPr="001C7D48">
        <w:rPr>
          <w:rFonts w:asciiTheme="minorHAnsi" w:hAnsiTheme="minorHAnsi" w:cstheme="minorHAnsi"/>
        </w:rPr>
        <w:t>Th</w:t>
      </w:r>
      <w:r w:rsidR="001E19BB">
        <w:rPr>
          <w:rFonts w:asciiTheme="minorHAnsi" w:hAnsiTheme="minorHAnsi" w:cstheme="minorHAnsi"/>
        </w:rPr>
        <w:t>e changes in the European profiling process were</w:t>
      </w:r>
      <w:r w:rsidRPr="001C7D48">
        <w:rPr>
          <w:rFonts w:asciiTheme="minorHAnsi" w:hAnsiTheme="minorHAnsi" w:cstheme="minorHAnsi"/>
        </w:rPr>
        <w:t xml:space="preserve"> supported by an in-depth analysis carried out by the </w:t>
      </w:r>
      <w:r w:rsidR="001E19BB">
        <w:rPr>
          <w:rFonts w:asciiTheme="minorHAnsi" w:hAnsiTheme="minorHAnsi" w:cstheme="minorHAnsi"/>
        </w:rPr>
        <w:t>T</w:t>
      </w:r>
      <w:r w:rsidRPr="001C7D48">
        <w:rPr>
          <w:rFonts w:asciiTheme="minorHAnsi" w:hAnsiTheme="minorHAnsi" w:cstheme="minorHAnsi"/>
        </w:rPr>
        <w:t xml:space="preserve">ask </w:t>
      </w:r>
      <w:r w:rsidR="001E19BB">
        <w:rPr>
          <w:rFonts w:asciiTheme="minorHAnsi" w:hAnsiTheme="minorHAnsi" w:cstheme="minorHAnsi"/>
        </w:rPr>
        <w:t>F</w:t>
      </w:r>
      <w:r w:rsidRPr="001C7D48">
        <w:rPr>
          <w:rFonts w:asciiTheme="minorHAnsi" w:hAnsiTheme="minorHAnsi" w:cstheme="minorHAnsi"/>
        </w:rPr>
        <w:t xml:space="preserve">orce, that </w:t>
      </w:r>
      <w:r w:rsidR="00756166" w:rsidRPr="001C7D48">
        <w:rPr>
          <w:rFonts w:asciiTheme="minorHAnsi" w:hAnsiTheme="minorHAnsi" w:cstheme="minorHAnsi"/>
        </w:rPr>
        <w:t xml:space="preserve">considered </w:t>
      </w:r>
      <w:r w:rsidR="00E05724" w:rsidRPr="001C7D48">
        <w:rPr>
          <w:rFonts w:asciiTheme="minorHAnsi" w:hAnsiTheme="minorHAnsi" w:cstheme="minorHAnsi"/>
        </w:rPr>
        <w:t xml:space="preserve">whether each step </w:t>
      </w:r>
      <w:r w:rsidRPr="001C7D48">
        <w:rPr>
          <w:rFonts w:asciiTheme="minorHAnsi" w:hAnsiTheme="minorHAnsi" w:cstheme="minorHAnsi"/>
        </w:rPr>
        <w:t xml:space="preserve">of the original European profiling process </w:t>
      </w:r>
      <w:r w:rsidR="00A22215" w:rsidRPr="001C7D48">
        <w:rPr>
          <w:rFonts w:asciiTheme="minorHAnsi" w:hAnsiTheme="minorHAnsi" w:cstheme="minorHAnsi"/>
        </w:rPr>
        <w:t>could be c</w:t>
      </w:r>
      <w:r w:rsidRPr="001C7D48">
        <w:rPr>
          <w:rFonts w:asciiTheme="minorHAnsi" w:hAnsiTheme="minorHAnsi" w:cstheme="minorHAnsi"/>
        </w:rPr>
        <w:t xml:space="preserve">onsidered </w:t>
      </w:r>
      <w:r w:rsidR="00A22215" w:rsidRPr="001C7D48">
        <w:rPr>
          <w:rFonts w:asciiTheme="minorHAnsi" w:hAnsiTheme="minorHAnsi" w:cstheme="minorHAnsi"/>
        </w:rPr>
        <w:t xml:space="preserve">mandatory or optional in the new </w:t>
      </w:r>
      <w:r w:rsidR="001C7D48">
        <w:rPr>
          <w:lang w:val="en-GB"/>
        </w:rPr>
        <w:t>Top-tier</w:t>
      </w:r>
      <w:r w:rsidR="00756166" w:rsidRPr="001C7D48">
        <w:rPr>
          <w:rFonts w:asciiTheme="minorHAnsi" w:hAnsiTheme="minorHAnsi" w:cstheme="minorHAnsi"/>
        </w:rPr>
        <w:t xml:space="preserve"> profiling process</w:t>
      </w:r>
      <w:r w:rsidRPr="001C7D48">
        <w:rPr>
          <w:rFonts w:asciiTheme="minorHAnsi" w:hAnsiTheme="minorHAnsi" w:cstheme="minorHAnsi"/>
        </w:rPr>
        <w:t xml:space="preserve">, with the objective to make it more cost effective and </w:t>
      </w:r>
      <w:r w:rsidR="00A22215" w:rsidRPr="001C7D48">
        <w:rPr>
          <w:rFonts w:asciiTheme="minorHAnsi" w:hAnsiTheme="minorHAnsi" w:cstheme="minorHAnsi"/>
        </w:rPr>
        <w:t>better integrated with the national profiling, a</w:t>
      </w:r>
      <w:r w:rsidRPr="001C7D48">
        <w:rPr>
          <w:rFonts w:asciiTheme="minorHAnsi" w:hAnsiTheme="minorHAnsi" w:cstheme="minorHAnsi"/>
        </w:rPr>
        <w:t xml:space="preserve">t the same time able to support an </w:t>
      </w:r>
      <w:r w:rsidR="00A22215" w:rsidRPr="001C7D48">
        <w:rPr>
          <w:rFonts w:asciiTheme="minorHAnsi" w:hAnsiTheme="minorHAnsi" w:cstheme="minorHAnsi"/>
        </w:rPr>
        <w:t>increase</w:t>
      </w:r>
      <w:r w:rsidRPr="001C7D48">
        <w:rPr>
          <w:rFonts w:asciiTheme="minorHAnsi" w:hAnsiTheme="minorHAnsi" w:cstheme="minorHAnsi"/>
        </w:rPr>
        <w:t>d</w:t>
      </w:r>
      <w:r w:rsidR="00A22215" w:rsidRPr="001C7D48">
        <w:rPr>
          <w:rFonts w:asciiTheme="minorHAnsi" w:hAnsiTheme="minorHAnsi" w:cstheme="minorHAnsi"/>
        </w:rPr>
        <w:t xml:space="preserve"> number of </w:t>
      </w:r>
      <w:r w:rsidR="001C7D48">
        <w:rPr>
          <w:lang w:val="en-GB"/>
        </w:rPr>
        <w:t>Top-tier</w:t>
      </w:r>
      <w:r w:rsidR="00704D2F" w:rsidRPr="001C7D48">
        <w:rPr>
          <w:rFonts w:asciiTheme="minorHAnsi" w:hAnsiTheme="minorHAnsi" w:cstheme="minorHAnsi"/>
        </w:rPr>
        <w:t xml:space="preserve"> </w:t>
      </w:r>
      <w:r w:rsidR="00A22215" w:rsidRPr="001C7D48">
        <w:rPr>
          <w:rFonts w:asciiTheme="minorHAnsi" w:hAnsiTheme="minorHAnsi" w:cstheme="minorHAnsi"/>
        </w:rPr>
        <w:t>MNE groups profiled</w:t>
      </w:r>
      <w:r w:rsidRPr="001C7D48">
        <w:rPr>
          <w:rFonts w:asciiTheme="minorHAnsi" w:hAnsiTheme="minorHAnsi" w:cstheme="minorHAnsi"/>
        </w:rPr>
        <w:t xml:space="preserve"> with </w:t>
      </w:r>
      <w:r w:rsidR="00E05724" w:rsidRPr="001C7D48">
        <w:rPr>
          <w:rFonts w:asciiTheme="minorHAnsi" w:hAnsiTheme="minorHAnsi" w:cstheme="minorHAnsi"/>
        </w:rPr>
        <w:t xml:space="preserve">high quality </w:t>
      </w:r>
      <w:r w:rsidR="00756166" w:rsidRPr="001C7D48">
        <w:rPr>
          <w:rFonts w:asciiTheme="minorHAnsi" w:hAnsiTheme="minorHAnsi" w:cstheme="minorHAnsi"/>
        </w:rPr>
        <w:t>data</w:t>
      </w:r>
      <w:r w:rsidR="00E05724" w:rsidRPr="001C7D48">
        <w:rPr>
          <w:rFonts w:asciiTheme="minorHAnsi" w:hAnsiTheme="minorHAnsi" w:cstheme="minorHAnsi"/>
        </w:rPr>
        <w:t xml:space="preserve">. </w:t>
      </w:r>
      <w:r w:rsidR="00F74A5E" w:rsidRPr="001C7D48">
        <w:rPr>
          <w:rFonts w:asciiTheme="minorHAnsi" w:hAnsiTheme="minorHAnsi" w:cstheme="minorHAnsi"/>
        </w:rPr>
        <w:t>The analys</w:t>
      </w:r>
      <w:r w:rsidR="00AB63DF">
        <w:rPr>
          <w:rFonts w:asciiTheme="minorHAnsi" w:hAnsiTheme="minorHAnsi" w:cstheme="minorHAnsi"/>
        </w:rPr>
        <w:t>is</w:t>
      </w:r>
      <w:r w:rsidR="00F74A5E" w:rsidRPr="001C7D48">
        <w:rPr>
          <w:rFonts w:asciiTheme="minorHAnsi" w:hAnsiTheme="minorHAnsi" w:cstheme="minorHAnsi"/>
        </w:rPr>
        <w:t xml:space="preserve"> considered the process steps and draw from the experience of European profiling and national profiling. For example, the technical functionalities of the German profiling tool </w:t>
      </w:r>
      <w:proofErr w:type="spellStart"/>
      <w:r w:rsidR="00F74A5E" w:rsidRPr="001C7D48">
        <w:rPr>
          <w:rFonts w:asciiTheme="minorHAnsi" w:hAnsiTheme="minorHAnsi" w:cstheme="minorHAnsi"/>
          <w:i/>
          <w:iCs/>
        </w:rPr>
        <w:t>iProfAnT</w:t>
      </w:r>
      <w:proofErr w:type="spellEnd"/>
      <w:r w:rsidR="00A51CFD" w:rsidRPr="001C7D48">
        <w:rPr>
          <w:rFonts w:asciiTheme="minorHAnsi" w:hAnsiTheme="minorHAnsi" w:cstheme="minorHAnsi"/>
        </w:rPr>
        <w:t xml:space="preserve"> [</w:t>
      </w:r>
      <w:r w:rsidR="00A13A26" w:rsidRPr="001C7D48">
        <w:rPr>
          <w:rFonts w:asciiTheme="minorHAnsi" w:hAnsiTheme="minorHAnsi" w:cstheme="minorHAnsi"/>
        </w:rPr>
        <w:t>6</w:t>
      </w:r>
      <w:r w:rsidR="00A51CFD" w:rsidRPr="001C7D48">
        <w:rPr>
          <w:rFonts w:asciiTheme="minorHAnsi" w:hAnsiTheme="minorHAnsi" w:cstheme="minorHAnsi"/>
        </w:rPr>
        <w:t>]</w:t>
      </w:r>
      <w:r w:rsidR="00F74A5E" w:rsidRPr="001C7D48">
        <w:rPr>
          <w:rFonts w:asciiTheme="minorHAnsi" w:hAnsiTheme="minorHAnsi" w:cstheme="minorHAnsi"/>
        </w:rPr>
        <w:t xml:space="preserve"> was used as an example of the process.</w:t>
      </w:r>
    </w:p>
    <w:p w14:paraId="64133967" w14:textId="146B8F1F" w:rsidR="00E05724" w:rsidRPr="00047E3F" w:rsidRDefault="0089368C" w:rsidP="00D42299">
      <w:pPr>
        <w:jc w:val="both"/>
        <w:rPr>
          <w:lang w:val="en-GB"/>
        </w:rPr>
      </w:pPr>
      <w:r>
        <w:rPr>
          <w:lang w:val="en-GB"/>
        </w:rPr>
        <w:t>Usually,</w:t>
      </w:r>
      <w:r w:rsidR="00A22215">
        <w:rPr>
          <w:lang w:val="en-GB"/>
        </w:rPr>
        <w:t xml:space="preserve"> </w:t>
      </w:r>
      <w:r w:rsidR="001C7D48">
        <w:rPr>
          <w:lang w:val="en-GB"/>
        </w:rPr>
        <w:t>Top-tier</w:t>
      </w:r>
      <w:r w:rsidR="00A22215">
        <w:rPr>
          <w:lang w:val="en-GB"/>
        </w:rPr>
        <w:t xml:space="preserve"> MNE groups are already subject to </w:t>
      </w:r>
      <w:r w:rsidR="00A22215" w:rsidRPr="00047E3F">
        <w:rPr>
          <w:lang w:val="en-GB"/>
        </w:rPr>
        <w:t>national profiling</w:t>
      </w:r>
      <w:r w:rsidR="000B5D51">
        <w:rPr>
          <w:lang w:val="en-GB"/>
        </w:rPr>
        <w:t xml:space="preserve">, which is responsible to delineate the </w:t>
      </w:r>
      <w:r w:rsidR="000B5D51" w:rsidRPr="00047E3F">
        <w:rPr>
          <w:lang w:val="en-GB"/>
        </w:rPr>
        <w:t xml:space="preserve">structure of the </w:t>
      </w:r>
      <w:r w:rsidR="000B5D51">
        <w:rPr>
          <w:lang w:val="en-GB"/>
        </w:rPr>
        <w:t xml:space="preserve">statistical unit </w:t>
      </w:r>
      <w:r w:rsidR="000B5D51" w:rsidRPr="00047E3F">
        <w:rPr>
          <w:lang w:val="en-GB"/>
        </w:rPr>
        <w:t>enterprise</w:t>
      </w:r>
      <w:r w:rsidR="00A22215">
        <w:rPr>
          <w:lang w:val="en-GB"/>
        </w:rPr>
        <w:t xml:space="preserve"> and/or </w:t>
      </w:r>
      <w:r w:rsidR="000B5D51">
        <w:rPr>
          <w:lang w:val="en-GB"/>
        </w:rPr>
        <w:t xml:space="preserve">are </w:t>
      </w:r>
      <w:r w:rsidR="00A22215">
        <w:rPr>
          <w:lang w:val="en-GB"/>
        </w:rPr>
        <w:t>treated by the Large Case</w:t>
      </w:r>
      <w:r w:rsidR="000B5D51">
        <w:rPr>
          <w:lang w:val="en-GB"/>
        </w:rPr>
        <w:t>s</w:t>
      </w:r>
      <w:r w:rsidR="00A22215">
        <w:rPr>
          <w:lang w:val="en-GB"/>
        </w:rPr>
        <w:t xml:space="preserve"> Units</w:t>
      </w:r>
      <w:r w:rsidR="00756166">
        <w:rPr>
          <w:lang w:val="en-GB"/>
        </w:rPr>
        <w:t>, which</w:t>
      </w:r>
      <w:bookmarkStart w:id="0" w:name="_GoBack"/>
      <w:bookmarkEnd w:id="0"/>
      <w:r w:rsidR="00A22215">
        <w:rPr>
          <w:lang w:val="en-GB"/>
        </w:rPr>
        <w:t xml:space="preserve"> </w:t>
      </w:r>
      <w:r w:rsidR="00756166">
        <w:rPr>
          <w:lang w:val="en-GB"/>
        </w:rPr>
        <w:t xml:space="preserve">ensure </w:t>
      </w:r>
      <w:r w:rsidR="00984B64" w:rsidRPr="00047E3F">
        <w:rPr>
          <w:lang w:val="en-GB"/>
        </w:rPr>
        <w:t xml:space="preserve">consistency between the enterprises and legal units within the </w:t>
      </w:r>
      <w:r w:rsidR="00756166">
        <w:rPr>
          <w:lang w:val="en-GB"/>
        </w:rPr>
        <w:t xml:space="preserve">MNE </w:t>
      </w:r>
      <w:r w:rsidR="00984B64" w:rsidRPr="00047E3F">
        <w:rPr>
          <w:lang w:val="en-GB"/>
        </w:rPr>
        <w:t>group</w:t>
      </w:r>
      <w:r w:rsidR="00756166">
        <w:rPr>
          <w:lang w:val="en-GB"/>
        </w:rPr>
        <w:t xml:space="preserve">. </w:t>
      </w:r>
      <w:r w:rsidR="00704D2F">
        <w:rPr>
          <w:lang w:val="en-GB"/>
        </w:rPr>
        <w:t xml:space="preserve">The </w:t>
      </w:r>
      <w:r w:rsidR="001E19BB">
        <w:rPr>
          <w:lang w:val="en-GB"/>
        </w:rPr>
        <w:t>T</w:t>
      </w:r>
      <w:r w:rsidR="00704D2F">
        <w:rPr>
          <w:lang w:val="en-GB"/>
        </w:rPr>
        <w:t xml:space="preserve">ask </w:t>
      </w:r>
      <w:r w:rsidR="001E19BB">
        <w:rPr>
          <w:lang w:val="en-GB"/>
        </w:rPr>
        <w:t>F</w:t>
      </w:r>
      <w:r w:rsidR="00704D2F">
        <w:rPr>
          <w:lang w:val="en-GB"/>
        </w:rPr>
        <w:t xml:space="preserve">orce </w:t>
      </w:r>
      <w:r w:rsidR="00E441BB">
        <w:rPr>
          <w:lang w:val="en-GB"/>
        </w:rPr>
        <w:t xml:space="preserve">therefore </w:t>
      </w:r>
      <w:r w:rsidR="00756166">
        <w:rPr>
          <w:lang w:val="en-GB"/>
        </w:rPr>
        <w:t xml:space="preserve">considered </w:t>
      </w:r>
      <w:r w:rsidR="00E441BB">
        <w:rPr>
          <w:lang w:val="en-GB"/>
        </w:rPr>
        <w:t xml:space="preserve">that the delineation of the statistical unit enterprise in the </w:t>
      </w:r>
      <w:r w:rsidR="001C7D48">
        <w:rPr>
          <w:lang w:val="en-GB"/>
        </w:rPr>
        <w:t>Top-tier</w:t>
      </w:r>
      <w:r w:rsidR="00E441BB">
        <w:rPr>
          <w:lang w:val="en-GB"/>
        </w:rPr>
        <w:t xml:space="preserve"> profiling could be considered a</w:t>
      </w:r>
      <w:r w:rsidR="00A22215">
        <w:rPr>
          <w:lang w:val="en-GB"/>
        </w:rPr>
        <w:t xml:space="preserve">n </w:t>
      </w:r>
      <w:r w:rsidR="00A22215" w:rsidRPr="00047E3F">
        <w:rPr>
          <w:lang w:val="en-GB"/>
        </w:rPr>
        <w:t>optional</w:t>
      </w:r>
      <w:r w:rsidR="00A22215">
        <w:rPr>
          <w:lang w:val="en-GB"/>
        </w:rPr>
        <w:t xml:space="preserve"> operation</w:t>
      </w:r>
      <w:r w:rsidR="00AB63DF">
        <w:rPr>
          <w:lang w:val="en-GB"/>
        </w:rPr>
        <w:t xml:space="preserve"> </w:t>
      </w:r>
      <w:r w:rsidR="00756166">
        <w:rPr>
          <w:lang w:val="en-GB"/>
        </w:rPr>
        <w:t>(</w:t>
      </w:r>
      <w:r w:rsidR="00A22215">
        <w:rPr>
          <w:lang w:val="en-GB"/>
        </w:rPr>
        <w:t xml:space="preserve">by </w:t>
      </w:r>
      <w:r w:rsidR="00756166">
        <w:rPr>
          <w:lang w:val="en-GB"/>
        </w:rPr>
        <w:t xml:space="preserve">the national profilers) </w:t>
      </w:r>
      <w:r w:rsidR="00A22215">
        <w:rPr>
          <w:lang w:val="en-GB"/>
        </w:rPr>
        <w:t xml:space="preserve">and </w:t>
      </w:r>
      <w:r w:rsidR="00756166">
        <w:rPr>
          <w:lang w:val="en-GB"/>
        </w:rPr>
        <w:t xml:space="preserve">needed only in certain </w:t>
      </w:r>
      <w:r w:rsidR="00A22215">
        <w:rPr>
          <w:lang w:val="en-GB"/>
        </w:rPr>
        <w:t xml:space="preserve">special </w:t>
      </w:r>
      <w:r w:rsidR="00756166">
        <w:rPr>
          <w:lang w:val="en-GB"/>
        </w:rPr>
        <w:t>cases</w:t>
      </w:r>
      <w:r w:rsidR="00A22215">
        <w:rPr>
          <w:lang w:val="en-GB"/>
        </w:rPr>
        <w:t xml:space="preserve">, </w:t>
      </w:r>
      <w:r w:rsidR="00756166">
        <w:rPr>
          <w:lang w:val="en-GB"/>
        </w:rPr>
        <w:t>for instance if the MNE group has undergone restructuring</w:t>
      </w:r>
      <w:r w:rsidR="00A22215">
        <w:rPr>
          <w:lang w:val="en-GB"/>
        </w:rPr>
        <w:t xml:space="preserve"> and/or additional consistency work is necessary across countries</w:t>
      </w:r>
      <w:r w:rsidR="00984B64" w:rsidRPr="00047E3F">
        <w:rPr>
          <w:lang w:val="en-GB"/>
        </w:rPr>
        <w:t xml:space="preserve">. </w:t>
      </w:r>
      <w:r w:rsidR="001054FF">
        <w:rPr>
          <w:lang w:val="en-GB"/>
        </w:rPr>
        <w:t xml:space="preserve">This information could </w:t>
      </w:r>
      <w:r w:rsidR="001E19BB">
        <w:rPr>
          <w:lang w:val="en-GB"/>
        </w:rPr>
        <w:t xml:space="preserve">be sent to </w:t>
      </w:r>
      <w:r w:rsidR="001054FF">
        <w:rPr>
          <w:lang w:val="en-GB"/>
        </w:rPr>
        <w:t xml:space="preserve">the EGR during the </w:t>
      </w:r>
      <w:r w:rsidR="001A2FE6">
        <w:rPr>
          <w:lang w:val="en-GB"/>
        </w:rPr>
        <w:t>usual annual</w:t>
      </w:r>
      <w:r w:rsidR="001054FF">
        <w:rPr>
          <w:lang w:val="en-GB"/>
        </w:rPr>
        <w:t xml:space="preserve"> process </w:t>
      </w:r>
      <w:r w:rsidR="001E19BB">
        <w:rPr>
          <w:lang w:val="en-GB"/>
        </w:rPr>
        <w:t xml:space="preserve">from </w:t>
      </w:r>
      <w:r w:rsidR="001054FF">
        <w:rPr>
          <w:lang w:val="en-GB"/>
        </w:rPr>
        <w:t xml:space="preserve">the national business registers. </w:t>
      </w:r>
      <w:r w:rsidR="00756166">
        <w:rPr>
          <w:lang w:val="en-GB"/>
        </w:rPr>
        <w:t xml:space="preserve">In this way, and assuming that the statistical unit enterprise is correctly delineated already in the national business registers, </w:t>
      </w:r>
      <w:r w:rsidR="00984B64" w:rsidRPr="00047E3F">
        <w:rPr>
          <w:lang w:val="en-GB"/>
        </w:rPr>
        <w:t xml:space="preserve">the </w:t>
      </w:r>
      <w:r w:rsidR="001C7D48" w:rsidRPr="001C7D48">
        <w:rPr>
          <w:rFonts w:cs="Calibri"/>
          <w:lang w:val="en-GB"/>
        </w:rPr>
        <w:t>Top-tier</w:t>
      </w:r>
      <w:r w:rsidR="00A22215">
        <w:rPr>
          <w:lang w:val="en-GB"/>
        </w:rPr>
        <w:t xml:space="preserve"> </w:t>
      </w:r>
      <w:r w:rsidR="00756166">
        <w:rPr>
          <w:lang w:val="en-GB"/>
        </w:rPr>
        <w:t xml:space="preserve">profiling </w:t>
      </w:r>
      <w:r w:rsidR="00984B64" w:rsidRPr="00047E3F">
        <w:rPr>
          <w:lang w:val="en-GB"/>
        </w:rPr>
        <w:t xml:space="preserve">process </w:t>
      </w:r>
      <w:r w:rsidR="00A22215">
        <w:rPr>
          <w:lang w:val="en-GB"/>
        </w:rPr>
        <w:t xml:space="preserve">has been re-designed in such a way to allow profilers to </w:t>
      </w:r>
      <w:r w:rsidR="00984B64" w:rsidRPr="00047E3F">
        <w:rPr>
          <w:lang w:val="en-GB"/>
        </w:rPr>
        <w:t xml:space="preserve">focus on the correctness and completeness of the </w:t>
      </w:r>
      <w:r w:rsidR="00756166">
        <w:rPr>
          <w:lang w:val="en-GB"/>
        </w:rPr>
        <w:t xml:space="preserve">global structure of </w:t>
      </w:r>
      <w:r w:rsidR="00984B64" w:rsidRPr="00047E3F">
        <w:rPr>
          <w:lang w:val="en-GB"/>
        </w:rPr>
        <w:t xml:space="preserve">legal units </w:t>
      </w:r>
      <w:r w:rsidR="00756166">
        <w:rPr>
          <w:lang w:val="en-GB"/>
        </w:rPr>
        <w:t>in the MNE</w:t>
      </w:r>
      <w:r w:rsidR="00984B64" w:rsidRPr="00047E3F">
        <w:rPr>
          <w:lang w:val="en-GB"/>
        </w:rPr>
        <w:t xml:space="preserve"> group</w:t>
      </w:r>
      <w:r w:rsidR="00F74A5E">
        <w:rPr>
          <w:lang w:val="en-GB"/>
        </w:rPr>
        <w:t xml:space="preserve"> only</w:t>
      </w:r>
      <w:r w:rsidR="00984B64" w:rsidRPr="00047E3F">
        <w:rPr>
          <w:lang w:val="en-GB"/>
        </w:rPr>
        <w:t xml:space="preserve">. </w:t>
      </w:r>
      <w:r w:rsidR="00756166">
        <w:rPr>
          <w:lang w:val="en-GB"/>
        </w:rPr>
        <w:t>Such an approach</w:t>
      </w:r>
      <w:r w:rsidR="00984B64" w:rsidRPr="00047E3F">
        <w:rPr>
          <w:lang w:val="en-GB"/>
        </w:rPr>
        <w:t xml:space="preserve"> reduces </w:t>
      </w:r>
      <w:r w:rsidR="00756166">
        <w:rPr>
          <w:lang w:val="en-GB"/>
        </w:rPr>
        <w:t xml:space="preserve">the </w:t>
      </w:r>
      <w:r w:rsidR="00984B64" w:rsidRPr="00047E3F">
        <w:rPr>
          <w:lang w:val="en-GB"/>
        </w:rPr>
        <w:t xml:space="preserve">processing time and </w:t>
      </w:r>
      <w:r w:rsidR="00BA755D">
        <w:rPr>
          <w:lang w:val="en-GB"/>
        </w:rPr>
        <w:t>increase the number of Top</w:t>
      </w:r>
      <w:r>
        <w:rPr>
          <w:lang w:val="en-GB"/>
        </w:rPr>
        <w:t>-</w:t>
      </w:r>
      <w:r w:rsidR="00BA755D">
        <w:rPr>
          <w:lang w:val="en-GB"/>
        </w:rPr>
        <w:t xml:space="preserve">tier </w:t>
      </w:r>
      <w:r w:rsidR="00756166">
        <w:rPr>
          <w:lang w:val="en-GB"/>
        </w:rPr>
        <w:t xml:space="preserve">MNE </w:t>
      </w:r>
      <w:r w:rsidR="00984B64" w:rsidRPr="00047E3F">
        <w:rPr>
          <w:lang w:val="en-GB"/>
        </w:rPr>
        <w:t>groups</w:t>
      </w:r>
      <w:r w:rsidR="00756166">
        <w:rPr>
          <w:lang w:val="en-GB"/>
        </w:rPr>
        <w:t xml:space="preserve">, </w:t>
      </w:r>
      <w:r w:rsidR="00BA755D">
        <w:rPr>
          <w:lang w:val="en-GB"/>
        </w:rPr>
        <w:t xml:space="preserve">at the same time avoiding or </w:t>
      </w:r>
      <w:r w:rsidR="00BA755D">
        <w:rPr>
          <w:lang w:val="en-GB"/>
        </w:rPr>
        <w:lastRenderedPageBreak/>
        <w:t xml:space="preserve">reducing </w:t>
      </w:r>
      <w:r w:rsidR="00756166">
        <w:rPr>
          <w:lang w:val="en-GB"/>
        </w:rPr>
        <w:t>the work on the enterprises’ delineation</w:t>
      </w:r>
      <w:r w:rsidR="00984B64" w:rsidRPr="00047E3F">
        <w:rPr>
          <w:lang w:val="en-GB"/>
        </w:rPr>
        <w:t>.</w:t>
      </w:r>
      <w:r w:rsidR="00871940" w:rsidRPr="00047E3F">
        <w:rPr>
          <w:lang w:val="en-GB"/>
        </w:rPr>
        <w:t xml:space="preserve"> </w:t>
      </w:r>
      <w:r w:rsidR="00A22215">
        <w:rPr>
          <w:lang w:val="en-GB"/>
        </w:rPr>
        <w:t>F</w:t>
      </w:r>
      <w:r w:rsidR="00871940" w:rsidRPr="00047E3F">
        <w:rPr>
          <w:lang w:val="en-GB"/>
        </w:rPr>
        <w:t>igure 3</w:t>
      </w:r>
      <w:r w:rsidR="00A22215">
        <w:rPr>
          <w:lang w:val="en-GB"/>
        </w:rPr>
        <w:t xml:space="preserve"> describes the </w:t>
      </w:r>
      <w:r w:rsidR="001C7D48">
        <w:rPr>
          <w:lang w:val="en-GB"/>
        </w:rPr>
        <w:t>Top-tier</w:t>
      </w:r>
      <w:r w:rsidR="00A22215">
        <w:rPr>
          <w:lang w:val="en-GB"/>
        </w:rPr>
        <w:t xml:space="preserve"> process and shows in </w:t>
      </w:r>
      <w:r w:rsidR="00871940" w:rsidRPr="00047E3F">
        <w:rPr>
          <w:lang w:val="en-GB"/>
        </w:rPr>
        <w:t xml:space="preserve">light blue </w:t>
      </w:r>
      <w:r w:rsidR="00A22215">
        <w:rPr>
          <w:lang w:val="en-GB"/>
        </w:rPr>
        <w:t xml:space="preserve">the optional steps, while </w:t>
      </w:r>
      <w:r w:rsidR="00871940" w:rsidRPr="00047E3F">
        <w:rPr>
          <w:lang w:val="en-GB"/>
        </w:rPr>
        <w:t>steps in orange and green are t</w:t>
      </w:r>
      <w:r w:rsidR="00A22215">
        <w:rPr>
          <w:lang w:val="en-GB"/>
        </w:rPr>
        <w:t>he mandatory ones</w:t>
      </w:r>
      <w:r w:rsidR="00871940" w:rsidRPr="00047E3F">
        <w:rPr>
          <w:lang w:val="en-GB"/>
        </w:rPr>
        <w:t xml:space="preserve">. </w:t>
      </w:r>
    </w:p>
    <w:p w14:paraId="508DFF61" w14:textId="73C98EA3" w:rsidR="008D7360" w:rsidRDefault="00707E0B" w:rsidP="00047E3F">
      <w:pPr>
        <w:jc w:val="both"/>
      </w:pPr>
      <w:r>
        <w:rPr>
          <w:noProof/>
          <w:lang w:val="en-GB"/>
        </w:rPr>
        <w:drawing>
          <wp:inline distT="0" distB="0" distL="0" distR="0" wp14:anchorId="040B1996" wp14:editId="353600CD">
            <wp:extent cx="6105525" cy="3819525"/>
            <wp:effectExtent l="0" t="0" r="0" b="0"/>
            <wp:docPr id="3" name="Bild 3" descr="Smart Process with optional step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 Process with optional steps_new"/>
                    <pic:cNvPicPr>
                      <a:picLocks noChangeAspect="1" noChangeArrowheads="1"/>
                    </pic:cNvPicPr>
                  </pic:nvPicPr>
                  <pic:blipFill>
                    <a:blip r:embed="rId11">
                      <a:extLst>
                        <a:ext uri="{28A0092B-C50C-407E-A947-70E740481C1C}">
                          <a14:useLocalDpi xmlns:a14="http://schemas.microsoft.com/office/drawing/2010/main" val="0"/>
                        </a:ext>
                      </a:extLst>
                    </a:blip>
                    <a:srcRect t="30933" r="24529"/>
                    <a:stretch>
                      <a:fillRect/>
                    </a:stretch>
                  </pic:blipFill>
                  <pic:spPr bwMode="auto">
                    <a:xfrm>
                      <a:off x="0" y="0"/>
                      <a:ext cx="6105525" cy="3819525"/>
                    </a:xfrm>
                    <a:prstGeom prst="rect">
                      <a:avLst/>
                    </a:prstGeom>
                    <a:noFill/>
                    <a:ln>
                      <a:noFill/>
                    </a:ln>
                  </pic:spPr>
                </pic:pic>
              </a:graphicData>
            </a:graphic>
          </wp:inline>
        </w:drawing>
      </w:r>
    </w:p>
    <w:p w14:paraId="728B19B5" w14:textId="77777777" w:rsidR="00BD0110" w:rsidRPr="00A0672A" w:rsidRDefault="00BD0110" w:rsidP="00BD0110">
      <w:pPr>
        <w:pStyle w:val="Beschriftung"/>
        <w:jc w:val="center"/>
        <w:rPr>
          <w:rStyle w:val="Fett"/>
          <w:b/>
          <w:bCs/>
          <w:sz w:val="22"/>
          <w:szCs w:val="22"/>
          <w:lang w:val="en-GB"/>
        </w:rPr>
      </w:pPr>
      <w:r>
        <w:t xml:space="preserve">Figure </w:t>
      </w:r>
      <w:r>
        <w:fldChar w:fldCharType="begin"/>
      </w:r>
      <w:r>
        <w:instrText xml:space="preserve"> SEQ Figure \* ARABIC </w:instrText>
      </w:r>
      <w:r>
        <w:fldChar w:fldCharType="separate"/>
      </w:r>
      <w:r w:rsidR="00725E08">
        <w:rPr>
          <w:noProof/>
        </w:rPr>
        <w:t>3</w:t>
      </w:r>
      <w:r>
        <w:fldChar w:fldCharType="end"/>
      </w:r>
      <w:r>
        <w:t>: Lean treatment process with optional steps</w:t>
      </w:r>
    </w:p>
    <w:p w14:paraId="0FBF91A3" w14:textId="17E555EC" w:rsidR="00F74A5E" w:rsidRDefault="00F74A5E" w:rsidP="00047E3F">
      <w:pPr>
        <w:pStyle w:val="Text1"/>
        <w:spacing w:line="276" w:lineRule="auto"/>
        <w:ind w:left="0"/>
        <w:rPr>
          <w:rFonts w:ascii="Calibri" w:eastAsia="MS Mincho" w:hAnsi="Calibri"/>
          <w:sz w:val="22"/>
          <w:szCs w:val="22"/>
          <w:lang w:eastAsia="en-US"/>
        </w:rPr>
      </w:pPr>
      <w:r>
        <w:rPr>
          <w:rFonts w:ascii="Calibri" w:eastAsia="MS Mincho" w:hAnsi="Calibri"/>
          <w:sz w:val="22"/>
          <w:szCs w:val="22"/>
          <w:lang w:eastAsia="en-US"/>
        </w:rPr>
        <w:t xml:space="preserve">In the next paragraphs a short description of the </w:t>
      </w:r>
      <w:r w:rsidR="001C7D48">
        <w:t>Top-tier</w:t>
      </w:r>
      <w:r>
        <w:rPr>
          <w:rFonts w:ascii="Calibri" w:eastAsia="MS Mincho" w:hAnsi="Calibri"/>
          <w:sz w:val="22"/>
          <w:szCs w:val="22"/>
          <w:lang w:eastAsia="en-US"/>
        </w:rPr>
        <w:t xml:space="preserve"> profiling is provided.</w:t>
      </w:r>
    </w:p>
    <w:p w14:paraId="317575EF" w14:textId="1E4617BF" w:rsidR="00F85934" w:rsidRDefault="00457EFE" w:rsidP="00047E3F">
      <w:pPr>
        <w:pStyle w:val="Text1"/>
        <w:spacing w:line="276" w:lineRule="auto"/>
        <w:ind w:left="0"/>
        <w:rPr>
          <w:rFonts w:ascii="Calibri" w:eastAsia="MS Mincho" w:hAnsi="Calibri"/>
          <w:sz w:val="22"/>
          <w:szCs w:val="22"/>
          <w:lang w:eastAsia="en-US"/>
        </w:rPr>
      </w:pPr>
      <w:r w:rsidRPr="00457EFE">
        <w:rPr>
          <w:rFonts w:ascii="Calibri" w:eastAsia="MS Mincho" w:hAnsi="Calibri"/>
          <w:sz w:val="22"/>
          <w:szCs w:val="22"/>
          <w:lang w:eastAsia="en-US"/>
        </w:rPr>
        <w:t>As a first step</w:t>
      </w:r>
      <w:r w:rsidR="00CA0A78">
        <w:rPr>
          <w:rFonts w:ascii="Calibri" w:eastAsia="MS Mincho" w:hAnsi="Calibri"/>
          <w:sz w:val="22"/>
          <w:szCs w:val="22"/>
          <w:lang w:eastAsia="en-US"/>
        </w:rPr>
        <w:t xml:space="preserve"> after selecting one </w:t>
      </w:r>
      <w:r w:rsidR="001C7D48" w:rsidRPr="001C7D48">
        <w:rPr>
          <w:rFonts w:asciiTheme="minorHAnsi" w:hAnsiTheme="minorHAnsi" w:cstheme="minorHAnsi"/>
        </w:rPr>
        <w:t>Top-tier</w:t>
      </w:r>
      <w:r w:rsidR="00F74A5E">
        <w:rPr>
          <w:rFonts w:ascii="Calibri" w:eastAsia="MS Mincho" w:hAnsi="Calibri"/>
          <w:sz w:val="22"/>
          <w:szCs w:val="22"/>
          <w:lang w:eastAsia="en-US"/>
        </w:rPr>
        <w:t xml:space="preserve"> MNE group from the list drawn by the CSI index, </w:t>
      </w:r>
      <w:r w:rsidRPr="00457EFE">
        <w:rPr>
          <w:rFonts w:ascii="Calibri" w:eastAsia="MS Mincho" w:hAnsi="Calibri"/>
          <w:sz w:val="22"/>
          <w:szCs w:val="22"/>
          <w:lang w:eastAsia="en-US"/>
        </w:rPr>
        <w:t xml:space="preserve">the GDC country </w:t>
      </w:r>
      <w:r w:rsidR="00F74A5E">
        <w:rPr>
          <w:rFonts w:ascii="Calibri" w:eastAsia="MS Mincho" w:hAnsi="Calibri"/>
          <w:sz w:val="22"/>
          <w:szCs w:val="22"/>
          <w:lang w:eastAsia="en-US"/>
        </w:rPr>
        <w:t>shall</w:t>
      </w:r>
      <w:r w:rsidRPr="00457EFE">
        <w:rPr>
          <w:rFonts w:ascii="Calibri" w:eastAsia="MS Mincho" w:hAnsi="Calibri"/>
          <w:sz w:val="22"/>
          <w:szCs w:val="22"/>
          <w:lang w:eastAsia="en-US"/>
        </w:rPr>
        <w:t xml:space="preserve"> compare the data in the EGR with other available sources to clarify the structure of the </w:t>
      </w:r>
      <w:r w:rsidR="00F74A5E">
        <w:rPr>
          <w:rFonts w:ascii="Calibri" w:eastAsia="MS Mincho" w:hAnsi="Calibri"/>
          <w:sz w:val="22"/>
          <w:szCs w:val="22"/>
          <w:lang w:eastAsia="en-US"/>
        </w:rPr>
        <w:t>MNE</w:t>
      </w:r>
      <w:r w:rsidRPr="00457EFE">
        <w:rPr>
          <w:rFonts w:ascii="Calibri" w:eastAsia="MS Mincho" w:hAnsi="Calibri"/>
          <w:sz w:val="22"/>
          <w:szCs w:val="22"/>
          <w:lang w:eastAsia="en-US"/>
        </w:rPr>
        <w:t xml:space="preserve"> group.</w:t>
      </w:r>
      <w:r>
        <w:rPr>
          <w:rFonts w:ascii="Calibri" w:eastAsia="MS Mincho" w:hAnsi="Calibri"/>
          <w:sz w:val="22"/>
          <w:szCs w:val="22"/>
          <w:lang w:eastAsia="en-US"/>
        </w:rPr>
        <w:t xml:space="preserve"> The data should be compared with the data in the national business register and the information in the annual report(s) published by the </w:t>
      </w:r>
      <w:r w:rsidR="00F74A5E">
        <w:rPr>
          <w:rFonts w:ascii="Calibri" w:eastAsia="MS Mincho" w:hAnsi="Calibri"/>
          <w:sz w:val="22"/>
          <w:szCs w:val="22"/>
          <w:lang w:eastAsia="en-US"/>
        </w:rPr>
        <w:t>MNE</w:t>
      </w:r>
      <w:r>
        <w:rPr>
          <w:rFonts w:ascii="Calibri" w:eastAsia="MS Mincho" w:hAnsi="Calibri"/>
          <w:sz w:val="22"/>
          <w:szCs w:val="22"/>
          <w:lang w:eastAsia="en-US"/>
        </w:rPr>
        <w:t xml:space="preserve"> group.</w:t>
      </w:r>
      <w:r w:rsidRPr="00457EFE">
        <w:t xml:space="preserve"> </w:t>
      </w:r>
      <w:r w:rsidRPr="00457EFE">
        <w:rPr>
          <w:rFonts w:ascii="Calibri" w:eastAsia="MS Mincho" w:hAnsi="Calibri"/>
          <w:sz w:val="22"/>
          <w:szCs w:val="22"/>
          <w:lang w:eastAsia="en-US"/>
        </w:rPr>
        <w:t xml:space="preserve">In addition, as many other sources as possible can be used to obtain and compare data on the </w:t>
      </w:r>
      <w:r w:rsidR="00F74A5E">
        <w:rPr>
          <w:rFonts w:ascii="Calibri" w:eastAsia="MS Mincho" w:hAnsi="Calibri"/>
          <w:sz w:val="22"/>
          <w:szCs w:val="22"/>
          <w:lang w:eastAsia="en-US"/>
        </w:rPr>
        <w:t>MNE</w:t>
      </w:r>
      <w:r w:rsidRPr="00457EFE">
        <w:rPr>
          <w:rFonts w:ascii="Calibri" w:eastAsia="MS Mincho" w:hAnsi="Calibri"/>
          <w:sz w:val="22"/>
          <w:szCs w:val="22"/>
          <w:lang w:eastAsia="en-US"/>
        </w:rPr>
        <w:t xml:space="preserve"> group.</w:t>
      </w:r>
      <w:r>
        <w:rPr>
          <w:rFonts w:ascii="Calibri" w:eastAsia="MS Mincho" w:hAnsi="Calibri"/>
          <w:sz w:val="22"/>
          <w:szCs w:val="22"/>
          <w:lang w:eastAsia="en-US"/>
        </w:rPr>
        <w:t xml:space="preserve"> </w:t>
      </w:r>
      <w:r w:rsidRPr="00457EFE">
        <w:rPr>
          <w:rFonts w:ascii="Calibri" w:eastAsia="MS Mincho" w:hAnsi="Calibri"/>
          <w:sz w:val="22"/>
          <w:szCs w:val="22"/>
          <w:lang w:eastAsia="en-US"/>
        </w:rPr>
        <w:t>The time and effort required to compare often several hundred or thousand</w:t>
      </w:r>
      <w:r w:rsidR="00DB73F5">
        <w:rPr>
          <w:rFonts w:ascii="Calibri" w:eastAsia="MS Mincho" w:hAnsi="Calibri"/>
          <w:sz w:val="22"/>
          <w:szCs w:val="22"/>
          <w:lang w:eastAsia="en-US"/>
        </w:rPr>
        <w:t>s of</w:t>
      </w:r>
      <w:r w:rsidRPr="00457EFE">
        <w:rPr>
          <w:rFonts w:ascii="Calibri" w:eastAsia="MS Mincho" w:hAnsi="Calibri"/>
          <w:sz w:val="22"/>
          <w:szCs w:val="22"/>
          <w:lang w:eastAsia="en-US"/>
        </w:rPr>
        <w:t xml:space="preserve"> legal units can be significantly reduced by supporting them with intelligent comparison functionalities.</w:t>
      </w:r>
      <w:r w:rsidRPr="00457EFE">
        <w:t xml:space="preserve"> </w:t>
      </w:r>
      <w:r w:rsidRPr="00457EFE">
        <w:rPr>
          <w:rFonts w:ascii="Calibri" w:eastAsia="MS Mincho" w:hAnsi="Calibri"/>
          <w:sz w:val="22"/>
          <w:szCs w:val="22"/>
          <w:lang w:eastAsia="en-US"/>
        </w:rPr>
        <w:t>The comparison functions should support the multi-dimensional comparison of lists and give the user as much flexibility as possible, because in manual editing the decision always lies with the p</w:t>
      </w:r>
      <w:r w:rsidR="00F74A5E">
        <w:rPr>
          <w:rFonts w:ascii="Calibri" w:eastAsia="MS Mincho" w:hAnsi="Calibri"/>
          <w:sz w:val="22"/>
          <w:szCs w:val="22"/>
          <w:lang w:eastAsia="en-US"/>
        </w:rPr>
        <w:t>rofiler</w:t>
      </w:r>
      <w:r w:rsidRPr="00457EFE">
        <w:rPr>
          <w:rFonts w:ascii="Calibri" w:eastAsia="MS Mincho" w:hAnsi="Calibri"/>
          <w:sz w:val="22"/>
          <w:szCs w:val="22"/>
          <w:lang w:eastAsia="en-US"/>
        </w:rPr>
        <w:t xml:space="preserve"> in the end.</w:t>
      </w:r>
      <w:r w:rsidR="0027438A">
        <w:rPr>
          <w:rFonts w:ascii="Calibri" w:eastAsia="MS Mincho" w:hAnsi="Calibri"/>
          <w:sz w:val="22"/>
          <w:szCs w:val="22"/>
          <w:lang w:eastAsia="en-US"/>
        </w:rPr>
        <w:t xml:space="preserve"> </w:t>
      </w:r>
      <w:r w:rsidR="0027438A" w:rsidRPr="0027438A">
        <w:rPr>
          <w:rFonts w:ascii="Calibri" w:eastAsia="MS Mincho" w:hAnsi="Calibri"/>
          <w:sz w:val="22"/>
          <w:szCs w:val="22"/>
          <w:lang w:eastAsia="en-US"/>
        </w:rPr>
        <w:t>The task force developed a prototype in Excel that can compare any number of lists with different characteristics, flexibly controlled by the user.</w:t>
      </w:r>
      <w:r w:rsidR="0027438A">
        <w:rPr>
          <w:rFonts w:ascii="Calibri" w:eastAsia="MS Mincho" w:hAnsi="Calibri"/>
          <w:sz w:val="22"/>
          <w:szCs w:val="22"/>
          <w:lang w:eastAsia="en-US"/>
        </w:rPr>
        <w:t xml:space="preserve"> </w:t>
      </w:r>
      <w:r w:rsidR="0027438A" w:rsidRPr="0027438A">
        <w:rPr>
          <w:rFonts w:ascii="Calibri" w:eastAsia="MS Mincho" w:hAnsi="Calibri"/>
          <w:sz w:val="22"/>
          <w:szCs w:val="22"/>
          <w:lang w:eastAsia="en-US"/>
        </w:rPr>
        <w:t xml:space="preserve">The prototype uses similarity measures such as </w:t>
      </w:r>
      <w:proofErr w:type="spellStart"/>
      <w:r w:rsidR="0027438A" w:rsidRPr="00FC0647">
        <w:rPr>
          <w:rFonts w:ascii="Calibri" w:eastAsia="MS Mincho" w:hAnsi="Calibri"/>
          <w:i/>
          <w:iCs/>
          <w:sz w:val="22"/>
          <w:szCs w:val="22"/>
          <w:lang w:eastAsia="en-US"/>
        </w:rPr>
        <w:t>Levenshtein</w:t>
      </w:r>
      <w:proofErr w:type="spellEnd"/>
      <w:r w:rsidR="0027438A" w:rsidRPr="0027438A">
        <w:rPr>
          <w:rFonts w:ascii="Calibri" w:eastAsia="MS Mincho" w:hAnsi="Calibri"/>
          <w:sz w:val="22"/>
          <w:szCs w:val="22"/>
          <w:lang w:eastAsia="en-US"/>
        </w:rPr>
        <w:t xml:space="preserve"> distance and is intended to serve as a template for implementing these functionalities in the EGR modules.</w:t>
      </w:r>
      <w:r w:rsidR="0027438A">
        <w:rPr>
          <w:rFonts w:ascii="Calibri" w:eastAsia="MS Mincho" w:hAnsi="Calibri"/>
          <w:sz w:val="22"/>
          <w:szCs w:val="22"/>
          <w:lang w:eastAsia="en-US"/>
        </w:rPr>
        <w:t xml:space="preserve"> </w:t>
      </w:r>
    </w:p>
    <w:p w14:paraId="023A0F1F" w14:textId="556C5D6B" w:rsidR="0027438A" w:rsidRDefault="0027438A" w:rsidP="00047E3F">
      <w:pPr>
        <w:pStyle w:val="Text1"/>
        <w:spacing w:line="276" w:lineRule="auto"/>
        <w:ind w:left="0"/>
        <w:rPr>
          <w:rFonts w:ascii="Calibri" w:eastAsia="MS Mincho" w:hAnsi="Calibri"/>
          <w:sz w:val="22"/>
          <w:szCs w:val="22"/>
          <w:lang w:eastAsia="en-US"/>
        </w:rPr>
      </w:pPr>
      <w:r w:rsidRPr="0027438A">
        <w:rPr>
          <w:rFonts w:ascii="Calibri" w:eastAsia="MS Mincho" w:hAnsi="Calibri"/>
          <w:sz w:val="22"/>
          <w:szCs w:val="22"/>
          <w:lang w:eastAsia="en-US"/>
        </w:rPr>
        <w:t xml:space="preserve">The comparison functions should then also be available to all partner countries </w:t>
      </w:r>
      <w:r w:rsidR="00F74A5E">
        <w:rPr>
          <w:rFonts w:ascii="Calibri" w:eastAsia="MS Mincho" w:hAnsi="Calibri"/>
          <w:sz w:val="22"/>
          <w:szCs w:val="22"/>
          <w:lang w:eastAsia="en-US"/>
        </w:rPr>
        <w:t>working on the same MNE group</w:t>
      </w:r>
      <w:r w:rsidRPr="0027438A">
        <w:rPr>
          <w:rFonts w:ascii="Calibri" w:eastAsia="MS Mincho" w:hAnsi="Calibri"/>
          <w:sz w:val="22"/>
          <w:szCs w:val="22"/>
          <w:lang w:eastAsia="en-US"/>
        </w:rPr>
        <w:t xml:space="preserve"> to compare the data </w:t>
      </w:r>
      <w:r w:rsidR="00F74A5E">
        <w:rPr>
          <w:rFonts w:ascii="Calibri" w:eastAsia="MS Mincho" w:hAnsi="Calibri"/>
          <w:sz w:val="22"/>
          <w:szCs w:val="22"/>
          <w:lang w:eastAsia="en-US"/>
        </w:rPr>
        <w:t xml:space="preserve">on the resident part of the MNE group </w:t>
      </w:r>
      <w:r w:rsidRPr="0027438A">
        <w:rPr>
          <w:rFonts w:ascii="Calibri" w:eastAsia="MS Mincho" w:hAnsi="Calibri"/>
          <w:sz w:val="22"/>
          <w:szCs w:val="22"/>
          <w:lang w:eastAsia="en-US"/>
        </w:rPr>
        <w:t>with their national business register.</w:t>
      </w:r>
      <w:r>
        <w:rPr>
          <w:rFonts w:ascii="Calibri" w:eastAsia="MS Mincho" w:hAnsi="Calibri"/>
          <w:sz w:val="22"/>
          <w:szCs w:val="22"/>
          <w:lang w:eastAsia="en-US"/>
        </w:rPr>
        <w:t xml:space="preserve"> </w:t>
      </w:r>
      <w:r w:rsidRPr="0027438A">
        <w:rPr>
          <w:rFonts w:ascii="Calibri" w:eastAsia="MS Mincho" w:hAnsi="Calibri"/>
          <w:sz w:val="22"/>
          <w:szCs w:val="22"/>
          <w:lang w:eastAsia="en-US"/>
        </w:rPr>
        <w:t>As this is a multi-participant process, there are likely to be discrepancies and coordination needs, so technical support must be put in place to make these communication processes efficient and targeted.</w:t>
      </w:r>
    </w:p>
    <w:p w14:paraId="0862BBB5" w14:textId="6B0EA614" w:rsidR="00F85934" w:rsidRDefault="00B80DA9" w:rsidP="00047E3F">
      <w:pPr>
        <w:pStyle w:val="Text1"/>
        <w:spacing w:line="276" w:lineRule="auto"/>
        <w:ind w:left="0"/>
        <w:rPr>
          <w:rFonts w:ascii="Calibri" w:eastAsia="MS Mincho" w:hAnsi="Calibri"/>
          <w:sz w:val="22"/>
          <w:szCs w:val="22"/>
          <w:lang w:eastAsia="en-US"/>
        </w:rPr>
      </w:pPr>
      <w:r w:rsidRPr="00B80DA9">
        <w:rPr>
          <w:rFonts w:ascii="Calibri" w:eastAsia="MS Mincho" w:hAnsi="Calibri"/>
          <w:sz w:val="22"/>
          <w:szCs w:val="22"/>
          <w:lang w:eastAsia="en-US"/>
        </w:rPr>
        <w:lastRenderedPageBreak/>
        <w:t xml:space="preserve">This lean process of manually editing the data of an </w:t>
      </w:r>
      <w:r w:rsidR="001E19BB">
        <w:rPr>
          <w:rFonts w:ascii="Calibri" w:eastAsia="MS Mincho" w:hAnsi="Calibri"/>
          <w:sz w:val="22"/>
          <w:szCs w:val="22"/>
          <w:lang w:eastAsia="en-US"/>
        </w:rPr>
        <w:t>MNE</w:t>
      </w:r>
      <w:r w:rsidRPr="00B80DA9">
        <w:rPr>
          <w:rFonts w:ascii="Calibri" w:eastAsia="MS Mincho" w:hAnsi="Calibri"/>
          <w:sz w:val="22"/>
          <w:szCs w:val="22"/>
          <w:lang w:eastAsia="en-US"/>
        </w:rPr>
        <w:t xml:space="preserve"> group </w:t>
      </w:r>
      <w:r>
        <w:rPr>
          <w:rFonts w:ascii="Calibri" w:eastAsia="MS Mincho" w:hAnsi="Calibri"/>
          <w:sz w:val="22"/>
          <w:szCs w:val="22"/>
          <w:lang w:eastAsia="en-US"/>
        </w:rPr>
        <w:t xml:space="preserve">with intelligent technical support and clear roles </w:t>
      </w:r>
      <w:r w:rsidRPr="00B80DA9">
        <w:rPr>
          <w:rFonts w:ascii="Calibri" w:eastAsia="MS Mincho" w:hAnsi="Calibri"/>
          <w:sz w:val="22"/>
          <w:szCs w:val="22"/>
          <w:lang w:eastAsia="en-US"/>
        </w:rPr>
        <w:t xml:space="preserve">is illustrated in </w:t>
      </w:r>
      <w:r>
        <w:rPr>
          <w:rFonts w:ascii="Calibri" w:eastAsia="MS Mincho" w:hAnsi="Calibri"/>
          <w:sz w:val="22"/>
          <w:szCs w:val="22"/>
          <w:lang w:eastAsia="en-US"/>
        </w:rPr>
        <w:t>f</w:t>
      </w:r>
      <w:r w:rsidRPr="00B80DA9">
        <w:rPr>
          <w:rFonts w:ascii="Calibri" w:eastAsia="MS Mincho" w:hAnsi="Calibri"/>
          <w:sz w:val="22"/>
          <w:szCs w:val="22"/>
          <w:lang w:eastAsia="en-US"/>
        </w:rPr>
        <w:t>igure 4.</w:t>
      </w:r>
      <w:r>
        <w:rPr>
          <w:rFonts w:ascii="Calibri" w:eastAsia="MS Mincho" w:hAnsi="Calibri"/>
          <w:sz w:val="22"/>
          <w:szCs w:val="22"/>
          <w:lang w:eastAsia="en-US"/>
        </w:rPr>
        <w:t xml:space="preserve"> </w:t>
      </w:r>
      <w:r w:rsidRPr="00B80DA9">
        <w:rPr>
          <w:rFonts w:ascii="Calibri" w:eastAsia="MS Mincho" w:hAnsi="Calibri"/>
          <w:sz w:val="22"/>
          <w:szCs w:val="22"/>
          <w:lang w:eastAsia="en-US"/>
        </w:rPr>
        <w:t>It also shows the timeframe over the year, in which month which process steps can take place.</w:t>
      </w:r>
      <w:r w:rsidR="001E19BB">
        <w:rPr>
          <w:rFonts w:ascii="Calibri" w:eastAsia="MS Mincho" w:hAnsi="Calibri"/>
          <w:sz w:val="22"/>
          <w:szCs w:val="22"/>
          <w:lang w:eastAsia="en-US"/>
        </w:rPr>
        <w:t xml:space="preserve"> </w:t>
      </w:r>
      <w:r w:rsidR="001E19BB" w:rsidRPr="00B80DA9">
        <w:rPr>
          <w:rFonts w:ascii="Calibri" w:eastAsia="MS Mincho" w:hAnsi="Calibri"/>
          <w:sz w:val="22"/>
          <w:szCs w:val="22"/>
          <w:lang w:eastAsia="en-US"/>
        </w:rPr>
        <w:t xml:space="preserve">The </w:t>
      </w:r>
      <w:r w:rsidR="001E19BB">
        <w:rPr>
          <w:rFonts w:ascii="Calibri" w:eastAsia="MS Mincho" w:hAnsi="Calibri"/>
          <w:sz w:val="22"/>
          <w:szCs w:val="22"/>
          <w:lang w:eastAsia="en-US"/>
        </w:rPr>
        <w:t xml:space="preserve">EGR </w:t>
      </w:r>
      <w:r w:rsidR="001E19BB" w:rsidRPr="00B80DA9">
        <w:rPr>
          <w:rFonts w:ascii="Calibri" w:eastAsia="MS Mincho" w:hAnsi="Calibri"/>
          <w:sz w:val="22"/>
          <w:szCs w:val="22"/>
          <w:lang w:eastAsia="en-US"/>
        </w:rPr>
        <w:t xml:space="preserve">system automatically </w:t>
      </w:r>
      <w:r w:rsidR="001E19BB">
        <w:rPr>
          <w:rFonts w:ascii="Calibri" w:eastAsia="MS Mincho" w:hAnsi="Calibri"/>
          <w:sz w:val="22"/>
          <w:szCs w:val="22"/>
          <w:lang w:eastAsia="en-US"/>
        </w:rPr>
        <w:t>integrates</w:t>
      </w:r>
      <w:r w:rsidR="001E19BB" w:rsidRPr="00B80DA9">
        <w:rPr>
          <w:rFonts w:ascii="Calibri" w:eastAsia="MS Mincho" w:hAnsi="Calibri"/>
          <w:sz w:val="22"/>
          <w:szCs w:val="22"/>
          <w:lang w:eastAsia="en-US"/>
        </w:rPr>
        <w:t xml:space="preserve"> the results</w:t>
      </w:r>
      <w:r w:rsidR="001E19BB">
        <w:rPr>
          <w:rFonts w:ascii="Calibri" w:eastAsia="MS Mincho" w:hAnsi="Calibri"/>
          <w:sz w:val="22"/>
          <w:szCs w:val="22"/>
          <w:lang w:eastAsia="en-US"/>
        </w:rPr>
        <w:t xml:space="preserve"> of European profiling</w:t>
      </w:r>
      <w:r w:rsidR="001E19BB" w:rsidRPr="00B80DA9">
        <w:rPr>
          <w:rFonts w:ascii="Calibri" w:eastAsia="MS Mincho" w:hAnsi="Calibri"/>
          <w:sz w:val="22"/>
          <w:szCs w:val="22"/>
          <w:lang w:eastAsia="en-US"/>
        </w:rPr>
        <w:t xml:space="preserve"> </w:t>
      </w:r>
      <w:r w:rsidR="001E19BB">
        <w:rPr>
          <w:rFonts w:ascii="Calibri" w:eastAsia="MS Mincho" w:hAnsi="Calibri"/>
          <w:sz w:val="22"/>
          <w:szCs w:val="22"/>
          <w:lang w:eastAsia="en-US"/>
        </w:rPr>
        <w:t xml:space="preserve">at the end of the process and treats it according to well defined priority rules during the consolidation of the MNE groups structures in order to offer users the highest quality information. </w:t>
      </w:r>
    </w:p>
    <w:p w14:paraId="08F02E1A" w14:textId="77777777" w:rsidR="001E19BB" w:rsidRDefault="001E19BB" w:rsidP="00047E3F">
      <w:pPr>
        <w:pStyle w:val="Text1"/>
        <w:spacing w:line="276" w:lineRule="auto"/>
        <w:ind w:left="0"/>
        <w:rPr>
          <w:rFonts w:ascii="Calibri" w:eastAsia="MS Mincho" w:hAnsi="Calibri"/>
          <w:sz w:val="22"/>
          <w:szCs w:val="22"/>
          <w:lang w:eastAsia="en-US"/>
        </w:rPr>
      </w:pPr>
    </w:p>
    <w:p w14:paraId="4EC7BF02" w14:textId="3D20328B" w:rsidR="00F85934" w:rsidRDefault="00707E0B" w:rsidP="00047E3F">
      <w:pPr>
        <w:pStyle w:val="Text1"/>
        <w:spacing w:line="276" w:lineRule="auto"/>
        <w:ind w:left="0"/>
        <w:rPr>
          <w:rFonts w:ascii="Calibri" w:eastAsia="MS Mincho" w:hAnsi="Calibri"/>
          <w:sz w:val="22"/>
          <w:szCs w:val="22"/>
          <w:lang w:eastAsia="en-US"/>
        </w:rPr>
      </w:pPr>
      <w:r>
        <w:rPr>
          <w:rFonts w:ascii="Calibri" w:eastAsia="MS Mincho" w:hAnsi="Calibri"/>
          <w:noProof/>
          <w:sz w:val="22"/>
          <w:szCs w:val="22"/>
          <w:lang w:val="en-US" w:eastAsia="en-US"/>
        </w:rPr>
        <w:drawing>
          <wp:inline distT="0" distB="0" distL="0" distR="0" wp14:anchorId="38E1454B" wp14:editId="3B9ACFBC">
            <wp:extent cx="5734050" cy="2305050"/>
            <wp:effectExtent l="0" t="0" r="0" b="0"/>
            <wp:docPr id="4" name="Grafik 1" descr="cid:image001.png@01D89063.6DC4DD90"/>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Grafik 1" descr="cid:image001.png@01D89063.6DC4DD90"/>
                    <pic:cNvPicPr>
                      <a:picLocks noGrp="1" noChangeArrowheads="1"/>
                    </pic:cNvPicPr>
                  </pic:nvPicPr>
                  <pic:blipFill>
                    <a:blip r:embed="rId12">
                      <a:extLst>
                        <a:ext uri="{28A0092B-C50C-407E-A947-70E740481C1C}">
                          <a14:useLocalDpi xmlns:a14="http://schemas.microsoft.com/office/drawing/2010/main" val="0"/>
                        </a:ext>
                      </a:extLst>
                    </a:blip>
                    <a:srcRect t="11314"/>
                    <a:stretch>
                      <a:fillRect/>
                    </a:stretch>
                  </pic:blipFill>
                  <pic:spPr bwMode="auto">
                    <a:xfrm>
                      <a:off x="0" y="0"/>
                      <a:ext cx="5734050" cy="2305050"/>
                    </a:xfrm>
                    <a:prstGeom prst="rect">
                      <a:avLst/>
                    </a:prstGeom>
                    <a:noFill/>
                    <a:ln>
                      <a:noFill/>
                    </a:ln>
                  </pic:spPr>
                </pic:pic>
              </a:graphicData>
            </a:graphic>
          </wp:inline>
        </w:drawing>
      </w:r>
    </w:p>
    <w:p w14:paraId="5FF79FA9" w14:textId="77777777" w:rsidR="008D7360" w:rsidRDefault="00BD0110" w:rsidP="009637E6">
      <w:pPr>
        <w:pStyle w:val="Beschriftung"/>
        <w:jc w:val="center"/>
        <w:rPr>
          <w:sz w:val="22"/>
          <w:szCs w:val="22"/>
        </w:rPr>
      </w:pPr>
      <w:r>
        <w:t xml:space="preserve">Figure </w:t>
      </w:r>
      <w:r>
        <w:fldChar w:fldCharType="begin"/>
      </w:r>
      <w:r>
        <w:instrText xml:space="preserve"> SEQ Figure \* ARABIC </w:instrText>
      </w:r>
      <w:r>
        <w:fldChar w:fldCharType="separate"/>
      </w:r>
      <w:r w:rsidR="00725E08">
        <w:rPr>
          <w:noProof/>
        </w:rPr>
        <w:t>4</w:t>
      </w:r>
      <w:r>
        <w:fldChar w:fldCharType="end"/>
      </w:r>
      <w:r>
        <w:t>:</w:t>
      </w:r>
      <w:r w:rsidRPr="00BD488F">
        <w:t xml:space="preserve"> Lean treatment process with technical support</w:t>
      </w:r>
    </w:p>
    <w:p w14:paraId="390ACBF6" w14:textId="77777777" w:rsidR="00A91CDB" w:rsidRPr="00F620A4" w:rsidRDefault="00A91CDB" w:rsidP="00C72374">
      <w:pPr>
        <w:jc w:val="center"/>
        <w:rPr>
          <w:rStyle w:val="Fett"/>
          <w:b w:val="0"/>
          <w:bCs w:val="0"/>
          <w:lang w:val="en-GB"/>
        </w:rPr>
      </w:pPr>
    </w:p>
    <w:p w14:paraId="6E3F7C6C" w14:textId="6ED5D0D2" w:rsidR="00EB7D1F" w:rsidRDefault="00C2085F" w:rsidP="00EB7D1F">
      <w:pPr>
        <w:pStyle w:val="berschrift1"/>
        <w:rPr>
          <w:rStyle w:val="Fett"/>
          <w:b/>
          <w:bCs w:val="0"/>
        </w:rPr>
      </w:pPr>
      <w:r>
        <w:rPr>
          <w:rStyle w:val="Fett"/>
          <w:b/>
          <w:bCs w:val="0"/>
        </w:rPr>
        <w:t xml:space="preserve">current status and future goals </w:t>
      </w:r>
    </w:p>
    <w:p w14:paraId="28997CB4" w14:textId="7EBBD9AD" w:rsidR="00342C2D" w:rsidRPr="001E19BB" w:rsidRDefault="005F4414" w:rsidP="001E19BB">
      <w:pPr>
        <w:jc w:val="both"/>
      </w:pPr>
      <w:r w:rsidRPr="006F3799">
        <w:t>The implementation of the two</w:t>
      </w:r>
      <w:r w:rsidR="00C8500C">
        <w:t>-</w:t>
      </w:r>
      <w:r w:rsidRPr="006F3799">
        <w:t xml:space="preserve">tier </w:t>
      </w:r>
      <w:r w:rsidR="001C7D48" w:rsidRPr="006F3799">
        <w:t>process</w:t>
      </w:r>
      <w:r w:rsidR="001C7D48">
        <w:t xml:space="preserve"> </w:t>
      </w:r>
      <w:r w:rsidR="001C7D48" w:rsidRPr="006F3799">
        <w:t>is</w:t>
      </w:r>
      <w:r w:rsidRPr="006F3799">
        <w:t xml:space="preserve"> already </w:t>
      </w:r>
      <w:r w:rsidR="00C2085F">
        <w:t>well advanced</w:t>
      </w:r>
      <w:r w:rsidR="00C2085F" w:rsidRPr="006F3799">
        <w:t xml:space="preserve"> </w:t>
      </w:r>
      <w:r w:rsidRPr="006F3799">
        <w:t xml:space="preserve">and the necessary transformation of the EGR </w:t>
      </w:r>
      <w:r w:rsidR="001E19BB">
        <w:t xml:space="preserve">system </w:t>
      </w:r>
      <w:r w:rsidRPr="006F3799">
        <w:t xml:space="preserve">is </w:t>
      </w:r>
      <w:r w:rsidR="00C2085F">
        <w:t>ongoing</w:t>
      </w:r>
      <w:r w:rsidRPr="006F3799">
        <w:t xml:space="preserve">. The </w:t>
      </w:r>
      <w:r w:rsidR="001E19BB">
        <w:t xml:space="preserve">EGR data </w:t>
      </w:r>
      <w:r w:rsidRPr="006F3799">
        <w:t xml:space="preserve">reference year 2021 </w:t>
      </w:r>
      <w:r w:rsidR="001E19BB">
        <w:t xml:space="preserve">integrated </w:t>
      </w:r>
      <w:r w:rsidR="001C7D48">
        <w:t xml:space="preserve">for </w:t>
      </w:r>
      <w:r w:rsidR="001C7D48" w:rsidRPr="006F3799">
        <w:t>the</w:t>
      </w:r>
      <w:r w:rsidRPr="006F3799">
        <w:t xml:space="preserve"> first </w:t>
      </w:r>
      <w:r w:rsidR="001A2FE6">
        <w:t xml:space="preserve">time </w:t>
      </w:r>
      <w:r w:rsidR="001A2FE6" w:rsidRPr="006F3799">
        <w:t>the</w:t>
      </w:r>
      <w:r w:rsidRPr="006F3799">
        <w:t xml:space="preserve"> </w:t>
      </w:r>
      <w:r w:rsidR="001E19BB">
        <w:t xml:space="preserve">European </w:t>
      </w:r>
      <w:r w:rsidRPr="006F3799">
        <w:t>profiling data</w:t>
      </w:r>
      <w:r w:rsidR="001E19BB">
        <w:t>.</w:t>
      </w:r>
      <w:r w:rsidRPr="006F3799">
        <w:t xml:space="preserve"> </w:t>
      </w:r>
      <w:r w:rsidR="002B30D7" w:rsidRPr="00182C39">
        <w:t xml:space="preserve">The </w:t>
      </w:r>
      <w:r w:rsidR="0043278B">
        <w:t xml:space="preserve">EGR data </w:t>
      </w:r>
      <w:r w:rsidR="002B30D7">
        <w:t xml:space="preserve">reference year 2022 will </w:t>
      </w:r>
      <w:r w:rsidR="002B30D7" w:rsidRPr="00182C39">
        <w:t>contain</w:t>
      </w:r>
      <w:r w:rsidR="002B30D7">
        <w:t xml:space="preserve"> already at </w:t>
      </w:r>
      <w:r w:rsidR="000037FE">
        <w:t xml:space="preserve">the beginning of </w:t>
      </w:r>
      <w:r w:rsidR="002B30D7">
        <w:t>T+</w:t>
      </w:r>
      <w:r w:rsidR="001C7D48">
        <w:t xml:space="preserve">12 </w:t>
      </w:r>
      <w:r w:rsidR="001C7D48" w:rsidRPr="00182C39">
        <w:t>high</w:t>
      </w:r>
      <w:r w:rsidR="002B30D7" w:rsidRPr="00607202">
        <w:t xml:space="preserve"> quality information </w:t>
      </w:r>
      <w:r w:rsidR="002B30D7">
        <w:t xml:space="preserve">coming from profiling </w:t>
      </w:r>
      <w:r w:rsidR="002B30D7" w:rsidRPr="00182C39">
        <w:t xml:space="preserve">on the </w:t>
      </w:r>
      <w:r w:rsidR="002B30D7">
        <w:t>Top tier MNE groups</w:t>
      </w:r>
      <w:r w:rsidR="002B30D7" w:rsidRPr="00182C39">
        <w:t>.</w:t>
      </w:r>
      <w:r w:rsidR="00342C2D">
        <w:t xml:space="preserve"> </w:t>
      </w:r>
      <w:r w:rsidR="0043278B">
        <w:t xml:space="preserve">At the time of writing this paper, an almost double number of MNE groups, compared to previous years, is being profiled by NSIs, either including the statistical enterprise delineation, or focusing on the top tier MNE groups’ structure. </w:t>
      </w:r>
      <w:r w:rsidR="00342C2D">
        <w:t>The goal is to f</w:t>
      </w:r>
      <w:r w:rsidR="00342C2D" w:rsidRPr="001E19BB">
        <w:t xml:space="preserve">urther increase </w:t>
      </w:r>
      <w:r w:rsidR="00B92BE6">
        <w:t>the</w:t>
      </w:r>
      <w:r w:rsidR="00342C2D" w:rsidRPr="001E19BB">
        <w:t xml:space="preserve"> accuracy</w:t>
      </w:r>
      <w:r w:rsidR="00342C2D">
        <w:t xml:space="preserve"> </w:t>
      </w:r>
      <w:r w:rsidR="0043278B">
        <w:t xml:space="preserve">of </w:t>
      </w:r>
      <w:r w:rsidR="00B92BE6">
        <w:t xml:space="preserve">all </w:t>
      </w:r>
      <w:r w:rsidR="00342C2D">
        <w:t>top tier</w:t>
      </w:r>
      <w:r w:rsidR="00342C2D" w:rsidRPr="001E19BB">
        <w:t xml:space="preserve"> MNE</w:t>
      </w:r>
      <w:r w:rsidR="00342C2D">
        <w:t xml:space="preserve"> group</w:t>
      </w:r>
      <w:r w:rsidR="00342C2D" w:rsidRPr="001E19BB">
        <w:t xml:space="preserve">s </w:t>
      </w:r>
      <w:r w:rsidR="00342C2D">
        <w:t xml:space="preserve">in </w:t>
      </w:r>
      <w:r w:rsidR="0043278B">
        <w:t xml:space="preserve">the short </w:t>
      </w:r>
      <w:r w:rsidR="001C7D48">
        <w:t>run.</w:t>
      </w:r>
      <w:r w:rsidR="00342C2D" w:rsidRPr="001E19BB">
        <w:t xml:space="preserve"> </w:t>
      </w:r>
    </w:p>
    <w:p w14:paraId="52AD2FB3" w14:textId="127A63D7" w:rsidR="00012E6F" w:rsidRDefault="00012E6F" w:rsidP="00012E6F">
      <w:pPr>
        <w:pStyle w:val="Text1"/>
        <w:spacing w:line="276" w:lineRule="auto"/>
        <w:ind w:left="0"/>
        <w:rPr>
          <w:rFonts w:ascii="Calibri" w:eastAsia="MS Mincho" w:hAnsi="Calibri"/>
          <w:sz w:val="22"/>
          <w:szCs w:val="22"/>
          <w:lang w:eastAsia="en-US"/>
        </w:rPr>
      </w:pPr>
      <w:r w:rsidRPr="00182C39">
        <w:rPr>
          <w:rFonts w:ascii="Calibri" w:eastAsia="MS Mincho" w:hAnsi="Calibri"/>
          <w:sz w:val="22"/>
          <w:szCs w:val="22"/>
          <w:lang w:eastAsia="en-US"/>
        </w:rPr>
        <w:t xml:space="preserve">In the light of the experience gained, the </w:t>
      </w:r>
      <w:r w:rsidR="0043278B">
        <w:rPr>
          <w:rFonts w:ascii="Calibri" w:eastAsia="MS Mincho" w:hAnsi="Calibri"/>
          <w:sz w:val="22"/>
          <w:szCs w:val="22"/>
          <w:lang w:eastAsia="en-US"/>
        </w:rPr>
        <w:t xml:space="preserve">described </w:t>
      </w:r>
      <w:r w:rsidR="001C7D48" w:rsidRPr="001C7D48">
        <w:rPr>
          <w:rFonts w:ascii="Calibri" w:hAnsi="Calibri" w:cs="Calibri"/>
        </w:rPr>
        <w:t>Top-tier</w:t>
      </w:r>
      <w:r w:rsidR="0043278B">
        <w:rPr>
          <w:rFonts w:ascii="Calibri" w:eastAsia="MS Mincho" w:hAnsi="Calibri"/>
          <w:sz w:val="22"/>
          <w:szCs w:val="22"/>
          <w:lang w:eastAsia="en-US"/>
        </w:rPr>
        <w:t xml:space="preserve"> profiling </w:t>
      </w:r>
      <w:r w:rsidRPr="00182C39">
        <w:rPr>
          <w:rFonts w:ascii="Calibri" w:eastAsia="MS Mincho" w:hAnsi="Calibri"/>
          <w:sz w:val="22"/>
          <w:szCs w:val="22"/>
          <w:lang w:eastAsia="en-US"/>
        </w:rPr>
        <w:t xml:space="preserve">process </w:t>
      </w:r>
      <w:r>
        <w:rPr>
          <w:rFonts w:ascii="Calibri" w:eastAsia="MS Mincho" w:hAnsi="Calibri"/>
          <w:sz w:val="22"/>
          <w:szCs w:val="22"/>
          <w:lang w:eastAsia="en-US"/>
        </w:rPr>
        <w:t>will</w:t>
      </w:r>
      <w:r w:rsidRPr="00182C39">
        <w:rPr>
          <w:rFonts w:ascii="Calibri" w:eastAsia="MS Mincho" w:hAnsi="Calibri"/>
          <w:sz w:val="22"/>
          <w:szCs w:val="22"/>
          <w:lang w:eastAsia="en-US"/>
        </w:rPr>
        <w:t xml:space="preserve"> be further improved and, </w:t>
      </w:r>
      <w:r w:rsidR="001C7D48" w:rsidRPr="00182C39">
        <w:rPr>
          <w:rFonts w:ascii="Calibri" w:eastAsia="MS Mincho" w:hAnsi="Calibri"/>
          <w:sz w:val="22"/>
          <w:szCs w:val="22"/>
          <w:lang w:eastAsia="en-US"/>
        </w:rPr>
        <w:t>additional</w:t>
      </w:r>
      <w:r>
        <w:rPr>
          <w:rFonts w:ascii="Calibri" w:eastAsia="MS Mincho" w:hAnsi="Calibri"/>
          <w:sz w:val="22"/>
          <w:szCs w:val="22"/>
          <w:lang w:eastAsia="en-US"/>
        </w:rPr>
        <w:t xml:space="preserve"> methodology </w:t>
      </w:r>
      <w:r w:rsidR="00280E09">
        <w:rPr>
          <w:rFonts w:ascii="Calibri" w:eastAsia="MS Mincho" w:hAnsi="Calibri"/>
          <w:sz w:val="22"/>
          <w:szCs w:val="22"/>
          <w:lang w:eastAsia="en-US"/>
        </w:rPr>
        <w:t>is being developed</w:t>
      </w:r>
      <w:r w:rsidRPr="00182C39">
        <w:rPr>
          <w:rFonts w:ascii="Calibri" w:eastAsia="MS Mincho" w:hAnsi="Calibri"/>
          <w:sz w:val="22"/>
          <w:szCs w:val="22"/>
          <w:lang w:eastAsia="en-US"/>
        </w:rPr>
        <w:t xml:space="preserve"> to ensure </w:t>
      </w:r>
      <w:r>
        <w:rPr>
          <w:rFonts w:ascii="Calibri" w:eastAsia="MS Mincho" w:hAnsi="Calibri"/>
          <w:sz w:val="22"/>
          <w:szCs w:val="22"/>
          <w:lang w:eastAsia="en-US"/>
        </w:rPr>
        <w:t>an</w:t>
      </w:r>
      <w:r w:rsidRPr="00182C39">
        <w:rPr>
          <w:rFonts w:ascii="Calibri" w:eastAsia="MS Mincho" w:hAnsi="Calibri"/>
          <w:sz w:val="22"/>
          <w:szCs w:val="22"/>
          <w:lang w:eastAsia="en-US"/>
        </w:rPr>
        <w:t xml:space="preserve"> annual </w:t>
      </w:r>
      <w:r>
        <w:rPr>
          <w:rFonts w:ascii="Calibri" w:eastAsia="MS Mincho" w:hAnsi="Calibri"/>
          <w:sz w:val="22"/>
          <w:szCs w:val="22"/>
          <w:lang w:eastAsia="en-US"/>
        </w:rPr>
        <w:t xml:space="preserve">event-driven approach for the </w:t>
      </w:r>
      <w:r w:rsidRPr="00182C39">
        <w:rPr>
          <w:rFonts w:ascii="Calibri" w:eastAsia="MS Mincho" w:hAnsi="Calibri"/>
          <w:sz w:val="22"/>
          <w:szCs w:val="22"/>
          <w:lang w:eastAsia="en-US"/>
        </w:rPr>
        <w:t xml:space="preserve">updating of the </w:t>
      </w:r>
      <w:r>
        <w:rPr>
          <w:rFonts w:ascii="Calibri" w:eastAsia="MS Mincho" w:hAnsi="Calibri"/>
          <w:sz w:val="22"/>
          <w:szCs w:val="22"/>
          <w:lang w:eastAsia="en-US"/>
        </w:rPr>
        <w:t xml:space="preserve">MNE </w:t>
      </w:r>
      <w:r w:rsidRPr="00182C39">
        <w:rPr>
          <w:rFonts w:ascii="Calibri" w:eastAsia="MS Mincho" w:hAnsi="Calibri"/>
          <w:sz w:val="22"/>
          <w:szCs w:val="22"/>
          <w:lang w:eastAsia="en-US"/>
        </w:rPr>
        <w:t>groups</w:t>
      </w:r>
      <w:r>
        <w:rPr>
          <w:rFonts w:ascii="Calibri" w:eastAsia="MS Mincho" w:hAnsi="Calibri"/>
          <w:sz w:val="22"/>
          <w:szCs w:val="22"/>
          <w:lang w:eastAsia="en-US"/>
        </w:rPr>
        <w:t xml:space="preserve"> and the move towards a continuous </w:t>
      </w:r>
      <w:r w:rsidR="0043278B">
        <w:rPr>
          <w:rFonts w:ascii="Calibri" w:eastAsia="MS Mincho" w:hAnsi="Calibri"/>
          <w:sz w:val="22"/>
          <w:szCs w:val="22"/>
          <w:lang w:eastAsia="en-US"/>
        </w:rPr>
        <w:t>updating of the EGR data.</w:t>
      </w:r>
      <w:r>
        <w:rPr>
          <w:rFonts w:ascii="Calibri" w:eastAsia="MS Mincho" w:hAnsi="Calibri"/>
          <w:sz w:val="22"/>
          <w:szCs w:val="22"/>
          <w:lang w:eastAsia="en-US"/>
        </w:rPr>
        <w:t xml:space="preserve"> </w:t>
      </w:r>
      <w:r w:rsidR="00280E09">
        <w:rPr>
          <w:rFonts w:ascii="Calibri" w:eastAsia="MS Mincho" w:hAnsi="Calibri"/>
          <w:sz w:val="22"/>
          <w:szCs w:val="22"/>
          <w:lang w:eastAsia="en-US"/>
        </w:rPr>
        <w:t xml:space="preserve">As a first step the goal is to </w:t>
      </w:r>
      <w:r w:rsidR="00B14BD4">
        <w:rPr>
          <w:rFonts w:ascii="Calibri" w:eastAsia="MS Mincho" w:hAnsi="Calibri"/>
          <w:sz w:val="22"/>
          <w:szCs w:val="22"/>
          <w:lang w:eastAsia="en-US"/>
        </w:rPr>
        <w:t>f</w:t>
      </w:r>
      <w:r w:rsidR="00280E09" w:rsidRPr="001C7D48">
        <w:rPr>
          <w:rFonts w:ascii="Calibri" w:eastAsia="MS Mincho" w:hAnsi="Calibri"/>
          <w:sz w:val="22"/>
          <w:szCs w:val="22"/>
          <w:lang w:eastAsia="en-US"/>
        </w:rPr>
        <w:t xml:space="preserve">urther increase of timeliness and frequency of EGR </w:t>
      </w:r>
      <w:r w:rsidR="0043278B">
        <w:rPr>
          <w:rFonts w:ascii="Calibri" w:eastAsia="MS Mincho" w:hAnsi="Calibri"/>
          <w:sz w:val="22"/>
          <w:szCs w:val="22"/>
          <w:lang w:eastAsia="en-US"/>
        </w:rPr>
        <w:t xml:space="preserve">delivering users additional </w:t>
      </w:r>
      <w:r w:rsidR="00280E09" w:rsidRPr="001C7D48">
        <w:rPr>
          <w:rFonts w:ascii="Calibri" w:eastAsia="MS Mincho" w:hAnsi="Calibri"/>
          <w:sz w:val="22"/>
          <w:szCs w:val="22"/>
          <w:lang w:eastAsia="en-US"/>
        </w:rPr>
        <w:t>frame</w:t>
      </w:r>
      <w:r w:rsidR="0043278B">
        <w:rPr>
          <w:rFonts w:ascii="Calibri" w:eastAsia="MS Mincho" w:hAnsi="Calibri"/>
          <w:sz w:val="22"/>
          <w:szCs w:val="22"/>
          <w:lang w:eastAsia="en-US"/>
        </w:rPr>
        <w:t>s</w:t>
      </w:r>
      <w:r w:rsidR="00280E09" w:rsidRPr="001C7D48">
        <w:rPr>
          <w:rFonts w:ascii="Calibri" w:eastAsia="MS Mincho" w:hAnsi="Calibri"/>
          <w:sz w:val="22"/>
          <w:szCs w:val="22"/>
          <w:lang w:eastAsia="en-US"/>
        </w:rPr>
        <w:t>: from 2024 one more EGR data release at T+</w:t>
      </w:r>
      <w:r w:rsidR="001A2FE6" w:rsidRPr="001C7D48">
        <w:rPr>
          <w:rFonts w:ascii="Calibri" w:eastAsia="MS Mincho" w:hAnsi="Calibri"/>
          <w:sz w:val="22"/>
          <w:szCs w:val="22"/>
          <w:lang w:eastAsia="en-US"/>
        </w:rPr>
        <w:t xml:space="preserve">4 </w:t>
      </w:r>
      <w:r w:rsidR="001A2FE6">
        <w:rPr>
          <w:rFonts w:ascii="Calibri" w:eastAsia="MS Mincho" w:hAnsi="Calibri"/>
          <w:sz w:val="22"/>
          <w:szCs w:val="22"/>
          <w:lang w:eastAsia="en-US"/>
        </w:rPr>
        <w:t>will</w:t>
      </w:r>
      <w:r w:rsidR="00280E09" w:rsidRPr="001C7D48">
        <w:rPr>
          <w:rFonts w:ascii="Calibri" w:eastAsia="MS Mincho" w:hAnsi="Calibri"/>
          <w:sz w:val="22"/>
          <w:szCs w:val="22"/>
          <w:lang w:eastAsia="en-US"/>
        </w:rPr>
        <w:t xml:space="preserve"> be </w:t>
      </w:r>
      <w:r w:rsidR="00280E09">
        <w:rPr>
          <w:rFonts w:ascii="Calibri" w:eastAsia="MS Mincho" w:hAnsi="Calibri"/>
          <w:sz w:val="22"/>
          <w:szCs w:val="22"/>
          <w:lang w:eastAsia="en-US"/>
        </w:rPr>
        <w:t>available for testing by the NSIs</w:t>
      </w:r>
      <w:r>
        <w:rPr>
          <w:rFonts w:ascii="Calibri" w:eastAsia="MS Mincho" w:hAnsi="Calibri"/>
          <w:sz w:val="22"/>
          <w:szCs w:val="22"/>
          <w:lang w:eastAsia="en-US"/>
        </w:rPr>
        <w:t>.</w:t>
      </w:r>
      <w:r w:rsidR="002B30D7">
        <w:rPr>
          <w:rFonts w:ascii="Calibri" w:eastAsia="MS Mincho" w:hAnsi="Calibri"/>
          <w:sz w:val="22"/>
          <w:szCs w:val="22"/>
          <w:lang w:eastAsia="en-US"/>
        </w:rPr>
        <w:t xml:space="preserve"> </w:t>
      </w:r>
    </w:p>
    <w:p w14:paraId="6DF87FFA" w14:textId="4E9CEAE7" w:rsidR="00E1686A" w:rsidRDefault="00707E0B" w:rsidP="00E1686A">
      <w:pPr>
        <w:jc w:val="center"/>
        <w:rPr>
          <w:lang w:val="en-GB"/>
        </w:rPr>
      </w:pPr>
      <w:r>
        <w:rPr>
          <w:noProof/>
          <w:lang w:val="en-GB"/>
        </w:rPr>
        <w:lastRenderedPageBreak/>
        <w:drawing>
          <wp:inline distT="0" distB="0" distL="0" distR="0" wp14:anchorId="2DBCB230" wp14:editId="326B049E">
            <wp:extent cx="2971800" cy="2332355"/>
            <wp:effectExtent l="0" t="19050" r="0" b="29845"/>
            <wp:docPr id="5" name="Bil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15285B7" w14:textId="0801A6F6" w:rsidR="00E1686A" w:rsidRDefault="00E1686A" w:rsidP="00E1686A">
      <w:pPr>
        <w:pStyle w:val="Beschriftung"/>
        <w:jc w:val="center"/>
      </w:pPr>
      <w:r>
        <w:t xml:space="preserve">Figure </w:t>
      </w:r>
      <w:r>
        <w:fldChar w:fldCharType="begin"/>
      </w:r>
      <w:r>
        <w:instrText xml:space="preserve"> SEQ Figure \* ARABIC </w:instrText>
      </w:r>
      <w:r>
        <w:fldChar w:fldCharType="separate"/>
      </w:r>
      <w:r>
        <w:rPr>
          <w:noProof/>
        </w:rPr>
        <w:t>5</w:t>
      </w:r>
      <w:r>
        <w:fldChar w:fldCharType="end"/>
      </w:r>
      <w:r w:rsidRPr="00EF5D23">
        <w:t xml:space="preserve">: </w:t>
      </w:r>
      <w:r w:rsidR="0043278B">
        <w:t xml:space="preserve">Continuous </w:t>
      </w:r>
      <w:r w:rsidR="001A2FE6">
        <w:t xml:space="preserve">EGR </w:t>
      </w:r>
      <w:r w:rsidR="001A2FE6" w:rsidRPr="00EF5D23">
        <w:t>cycle</w:t>
      </w:r>
      <w:r w:rsidRPr="00EF5D23">
        <w:t xml:space="preserve"> </w:t>
      </w:r>
      <w:r w:rsidR="003E09E4">
        <w:t>from 2024</w:t>
      </w:r>
    </w:p>
    <w:p w14:paraId="05E0ACE7" w14:textId="402A8E1E" w:rsidR="00E1686A" w:rsidRPr="009637E6" w:rsidRDefault="00E1686A" w:rsidP="00E1686A">
      <w:pPr>
        <w:pStyle w:val="Text1"/>
        <w:spacing w:line="276" w:lineRule="auto"/>
        <w:ind w:left="0"/>
        <w:rPr>
          <w:rFonts w:ascii="Calibri" w:eastAsia="MS Mincho" w:hAnsi="Calibri"/>
          <w:sz w:val="22"/>
          <w:szCs w:val="22"/>
          <w:lang w:eastAsia="en-US"/>
        </w:rPr>
      </w:pPr>
      <w:r w:rsidRPr="009637E6">
        <w:rPr>
          <w:rFonts w:ascii="Calibri" w:eastAsia="MS Mincho" w:hAnsi="Calibri"/>
          <w:sz w:val="22"/>
          <w:szCs w:val="22"/>
          <w:lang w:eastAsia="en-US"/>
        </w:rPr>
        <w:t xml:space="preserve">This newly introduced process will make it possible to significantly increase the exchange of </w:t>
      </w:r>
      <w:r w:rsidR="00280E09">
        <w:rPr>
          <w:rFonts w:ascii="Calibri" w:eastAsia="MS Mincho" w:hAnsi="Calibri"/>
          <w:sz w:val="22"/>
          <w:szCs w:val="22"/>
          <w:lang w:eastAsia="en-US"/>
        </w:rPr>
        <w:t xml:space="preserve">updated </w:t>
      </w:r>
      <w:r w:rsidRPr="009637E6">
        <w:rPr>
          <w:rFonts w:ascii="Calibri" w:eastAsia="MS Mincho" w:hAnsi="Calibri"/>
          <w:sz w:val="22"/>
          <w:szCs w:val="22"/>
          <w:lang w:eastAsia="en-US"/>
        </w:rPr>
        <w:t>information between the national business registers and the EGR</w:t>
      </w:r>
      <w:r>
        <w:rPr>
          <w:rFonts w:ascii="Calibri" w:eastAsia="MS Mincho" w:hAnsi="Calibri"/>
          <w:sz w:val="22"/>
          <w:szCs w:val="22"/>
          <w:lang w:eastAsia="en-US"/>
        </w:rPr>
        <w:t xml:space="preserve"> </w:t>
      </w:r>
      <w:r w:rsidR="00280E09">
        <w:rPr>
          <w:rFonts w:ascii="Calibri" w:eastAsia="MS Mincho" w:hAnsi="Calibri"/>
          <w:sz w:val="22"/>
          <w:szCs w:val="22"/>
          <w:lang w:eastAsia="en-US"/>
        </w:rPr>
        <w:t>increasing the accuracy and timeliness</w:t>
      </w:r>
      <w:r w:rsidRPr="009637E6">
        <w:rPr>
          <w:rFonts w:ascii="Calibri" w:eastAsia="MS Mincho" w:hAnsi="Calibri"/>
          <w:sz w:val="22"/>
          <w:szCs w:val="22"/>
          <w:lang w:eastAsia="en-US"/>
        </w:rPr>
        <w:t>.</w:t>
      </w:r>
    </w:p>
    <w:p w14:paraId="1755D14B" w14:textId="43400A82" w:rsidR="00E1686A" w:rsidRPr="009637E6" w:rsidRDefault="00E1686A" w:rsidP="00E1686A">
      <w:pPr>
        <w:pStyle w:val="Text1"/>
        <w:spacing w:line="276" w:lineRule="auto"/>
        <w:ind w:left="0"/>
        <w:rPr>
          <w:rFonts w:ascii="Calibri" w:eastAsia="MS Mincho" w:hAnsi="Calibri"/>
          <w:sz w:val="22"/>
          <w:szCs w:val="22"/>
          <w:lang w:eastAsia="en-US"/>
        </w:rPr>
      </w:pPr>
      <w:r w:rsidRPr="009637E6">
        <w:rPr>
          <w:rFonts w:ascii="Calibri" w:eastAsia="MS Mincho" w:hAnsi="Calibri"/>
          <w:sz w:val="22"/>
          <w:szCs w:val="22"/>
          <w:lang w:eastAsia="en-US"/>
        </w:rPr>
        <w:t xml:space="preserve">In this way, data on MNE groups can be made available to the different statistical domains in a consistent and as </w:t>
      </w:r>
      <w:r w:rsidR="0043278B" w:rsidRPr="009637E6">
        <w:rPr>
          <w:rFonts w:ascii="Calibri" w:eastAsia="MS Mincho" w:hAnsi="Calibri"/>
          <w:sz w:val="22"/>
          <w:szCs w:val="22"/>
          <w:lang w:eastAsia="en-US"/>
        </w:rPr>
        <w:t>up to date</w:t>
      </w:r>
      <w:r w:rsidRPr="009637E6">
        <w:rPr>
          <w:rFonts w:ascii="Calibri" w:eastAsia="MS Mincho" w:hAnsi="Calibri"/>
          <w:sz w:val="22"/>
          <w:szCs w:val="22"/>
          <w:lang w:eastAsia="en-US"/>
        </w:rPr>
        <w:t xml:space="preserve"> way as possible, and the European system of business registers can be set up in a way that adequately reflects and makes available the effects of globalisation and fast- changing structures of </w:t>
      </w:r>
      <w:r>
        <w:rPr>
          <w:rFonts w:ascii="Calibri" w:eastAsia="MS Mincho" w:hAnsi="Calibri"/>
          <w:sz w:val="22"/>
          <w:szCs w:val="22"/>
          <w:lang w:eastAsia="en-US"/>
        </w:rPr>
        <w:t>MNE</w:t>
      </w:r>
      <w:r w:rsidRPr="009637E6">
        <w:rPr>
          <w:rFonts w:ascii="Calibri" w:eastAsia="MS Mincho" w:hAnsi="Calibri"/>
          <w:sz w:val="22"/>
          <w:szCs w:val="22"/>
          <w:lang w:eastAsia="en-US"/>
        </w:rPr>
        <w:t xml:space="preserve"> groups.</w:t>
      </w:r>
    </w:p>
    <w:p w14:paraId="309A8E47" w14:textId="1CA2A547" w:rsidR="005F4414" w:rsidRPr="009637E6" w:rsidRDefault="005F4414" w:rsidP="005F4414">
      <w:pPr>
        <w:spacing w:before="120" w:after="120"/>
        <w:rPr>
          <w:bCs/>
          <w:iCs/>
          <w:lang w:val="en-GB"/>
        </w:rPr>
      </w:pPr>
    </w:p>
    <w:p w14:paraId="25A47CF0" w14:textId="77777777" w:rsidR="002D22B9" w:rsidRDefault="002D22B9" w:rsidP="00EB7D1F">
      <w:pPr>
        <w:pStyle w:val="Text1"/>
        <w:ind w:left="0"/>
        <w:rPr>
          <w:rFonts w:ascii="Calibri" w:eastAsia="MS Mincho" w:hAnsi="Calibri"/>
          <w:sz w:val="22"/>
          <w:szCs w:val="22"/>
          <w:lang w:eastAsia="en-US"/>
        </w:rPr>
      </w:pPr>
    </w:p>
    <w:p w14:paraId="3259D6E2" w14:textId="77777777" w:rsidR="00464A8C" w:rsidRPr="00707E0B" w:rsidRDefault="00464A8C" w:rsidP="00464A8C">
      <w:pPr>
        <w:pStyle w:val="berschrift1"/>
        <w:numPr>
          <w:ilvl w:val="0"/>
          <w:numId w:val="0"/>
        </w:numPr>
      </w:pPr>
      <w:r w:rsidRPr="00707E0B">
        <w:t>References</w:t>
      </w:r>
    </w:p>
    <w:p w14:paraId="3B9571D2" w14:textId="25115142" w:rsidR="002D22B9" w:rsidRDefault="002D22B9" w:rsidP="002D22B9">
      <w:pPr>
        <w:pStyle w:val="trt0xe"/>
        <w:shd w:val="clear" w:color="auto" w:fill="FFFFFF"/>
        <w:spacing w:before="0" w:beforeAutospacing="0" w:after="60" w:afterAutospacing="0"/>
        <w:jc w:val="both"/>
        <w:rPr>
          <w:rFonts w:ascii="Arial" w:eastAsia="Calibri" w:hAnsi="Arial" w:cs="Arial"/>
          <w:sz w:val="20"/>
          <w:szCs w:val="20"/>
          <w:lang w:val="en-US" w:eastAsia="en-US"/>
        </w:rPr>
      </w:pPr>
      <w:r w:rsidRPr="00EC2ACF">
        <w:rPr>
          <w:rFonts w:ascii="Arial" w:eastAsia="Calibri" w:hAnsi="Arial" w:cs="Arial"/>
          <w:sz w:val="20"/>
          <w:szCs w:val="20"/>
          <w:lang w:val="en-US" w:eastAsia="en-US"/>
        </w:rPr>
        <w:t xml:space="preserve">[1] DGINS Conference (2019). Bratislava Conclusions, </w:t>
      </w:r>
      <w:r w:rsidRPr="001C7D48">
        <w:rPr>
          <w:rFonts w:ascii="Arial" w:eastAsia="Calibri" w:hAnsi="Arial" w:cs="Arial"/>
          <w:i/>
          <w:iCs/>
          <w:sz w:val="20"/>
          <w:szCs w:val="20"/>
          <w:lang w:val="en-US" w:eastAsia="en-US"/>
        </w:rPr>
        <w:t>The statistical implications of economic globalization</w:t>
      </w:r>
      <w:r w:rsidRPr="00EC2ACF">
        <w:rPr>
          <w:rFonts w:ascii="Arial" w:eastAsia="Calibri" w:hAnsi="Arial" w:cs="Arial"/>
          <w:sz w:val="20"/>
          <w:szCs w:val="20"/>
          <w:lang w:val="en-US" w:eastAsia="en-US"/>
        </w:rPr>
        <w:t>.</w:t>
      </w:r>
    </w:p>
    <w:p w14:paraId="24670E6C" w14:textId="77777777" w:rsidR="00FC0647" w:rsidRDefault="00FC0647" w:rsidP="002D22B9">
      <w:pPr>
        <w:pStyle w:val="trt0xe"/>
        <w:shd w:val="clear" w:color="auto" w:fill="FFFFFF"/>
        <w:spacing w:before="0" w:beforeAutospacing="0" w:after="60" w:afterAutospacing="0"/>
        <w:jc w:val="both"/>
        <w:rPr>
          <w:rFonts w:ascii="Arial" w:eastAsia="Calibri" w:hAnsi="Arial" w:cs="Arial"/>
          <w:sz w:val="20"/>
          <w:szCs w:val="20"/>
          <w:lang w:val="en-US" w:eastAsia="en-US"/>
        </w:rPr>
      </w:pPr>
    </w:p>
    <w:p w14:paraId="36AC913A" w14:textId="28E99325" w:rsidR="00F958F5" w:rsidRPr="001C7D48" w:rsidRDefault="00F958F5" w:rsidP="00F958F5">
      <w:pPr>
        <w:pStyle w:val="trt0xe"/>
        <w:shd w:val="clear" w:color="auto" w:fill="FFFFFF"/>
        <w:spacing w:before="0" w:beforeAutospacing="0" w:after="60" w:afterAutospacing="0"/>
        <w:jc w:val="both"/>
        <w:rPr>
          <w:lang w:val="en-IE"/>
        </w:rPr>
      </w:pPr>
      <w:r>
        <w:rPr>
          <w:rFonts w:ascii="Arial" w:eastAsia="Calibri" w:hAnsi="Arial" w:cs="Arial"/>
          <w:sz w:val="20"/>
          <w:szCs w:val="20"/>
          <w:lang w:val="en-US" w:eastAsia="en-US"/>
        </w:rPr>
        <w:t xml:space="preserve">[2] </w:t>
      </w:r>
      <w:hyperlink r:id="rId18" w:history="1">
        <w:r w:rsidRPr="00882260">
          <w:rPr>
            <w:rStyle w:val="Hyperlink"/>
            <w:i/>
            <w:iCs/>
          </w:rPr>
          <w:t>European business statistics methodological manual for statistical business registers</w:t>
        </w:r>
        <w:r>
          <w:rPr>
            <w:rStyle w:val="Hyperlink"/>
          </w:rPr>
          <w:t xml:space="preserve"> — 2021 edition - Products Manuals and Guidelines - Eurostat (europa.eu)</w:t>
        </w:r>
      </w:hyperlink>
      <w:r w:rsidR="008136C6">
        <w:t xml:space="preserve"> </w:t>
      </w:r>
      <w:r w:rsidR="008136C6" w:rsidRPr="001C7D48">
        <w:rPr>
          <w:lang w:val="en-IE"/>
        </w:rPr>
        <w:t>-</w:t>
      </w:r>
      <w:r w:rsidR="008136C6">
        <w:rPr>
          <w:lang w:val="en-IE"/>
        </w:rPr>
        <w:t xml:space="preserve"> </w:t>
      </w:r>
      <w:hyperlink r:id="rId19" w:history="1">
        <w:r w:rsidR="008136C6" w:rsidRPr="008136C6">
          <w:rPr>
            <w:rStyle w:val="Hyperlink"/>
            <w:lang w:val="en-IE"/>
          </w:rPr>
          <w:t>https://ec.europa.eu/eurostat/web/products-manuals-and-guidelines/-/ks-gq-20-006</w:t>
        </w:r>
      </w:hyperlink>
    </w:p>
    <w:p w14:paraId="730CB51F" w14:textId="781EE5EF" w:rsidR="000B5EEC" w:rsidRDefault="000B5EEC" w:rsidP="000E27EF">
      <w:pPr>
        <w:pStyle w:val="trt0xe"/>
        <w:shd w:val="clear" w:color="auto" w:fill="FFFFFF"/>
        <w:spacing w:before="0" w:beforeAutospacing="0" w:after="60" w:afterAutospacing="0"/>
        <w:jc w:val="both"/>
        <w:rPr>
          <w:rFonts w:ascii="Arial" w:eastAsia="Calibri" w:hAnsi="Arial" w:cs="Arial"/>
          <w:sz w:val="20"/>
          <w:szCs w:val="20"/>
          <w:lang w:val="en-US" w:eastAsia="en-US"/>
        </w:rPr>
      </w:pPr>
    </w:p>
    <w:p w14:paraId="0B1A81E5" w14:textId="27D08C2D" w:rsidR="00636ED2" w:rsidRDefault="00636ED2" w:rsidP="00636ED2">
      <w:pPr>
        <w:pStyle w:val="trt0xe"/>
        <w:shd w:val="clear" w:color="auto" w:fill="FFFFFF"/>
        <w:spacing w:before="0" w:beforeAutospacing="0" w:after="60" w:afterAutospacing="0"/>
        <w:jc w:val="both"/>
      </w:pPr>
      <w:r>
        <w:t xml:space="preserve">[3] E. Morganti, M. Jalava, I. Sopranidis - </w:t>
      </w:r>
      <w:r w:rsidRPr="003C70EE">
        <w:rPr>
          <w:i/>
          <w:iCs/>
        </w:rPr>
        <w:t>Strategy and solutions for the Eurogroups Register (EGR)</w:t>
      </w:r>
      <w:r>
        <w:t xml:space="preserve"> - </w:t>
      </w:r>
      <w:hyperlink r:id="rId20" w:history="1">
        <w:r>
          <w:rPr>
            <w:rStyle w:val="Hyperlink"/>
          </w:rPr>
          <w:t>Meeting of the Group of Experts on Business Registers UNECE</w:t>
        </w:r>
      </w:hyperlink>
      <w:r>
        <w:t xml:space="preserve"> </w:t>
      </w:r>
      <w:r w:rsidR="00882260">
        <w:t>-</w:t>
      </w:r>
      <w:hyperlink r:id="rId21" w:history="1">
        <w:r w:rsidR="00882260" w:rsidRPr="00882260">
          <w:rPr>
            <w:rStyle w:val="Hyperlink"/>
          </w:rPr>
          <w:t>https://unece.org/info/Statistics/events/364567</w:t>
        </w:r>
      </w:hyperlink>
      <w:r w:rsidR="00882260">
        <w:t xml:space="preserve"> </w:t>
      </w:r>
      <w:r w:rsidR="00A13A26">
        <w:t>–</w:t>
      </w:r>
      <w:r>
        <w:t xml:space="preserve"> 2022</w:t>
      </w:r>
      <w:r w:rsidR="00A13A26">
        <w:t>.</w:t>
      </w:r>
    </w:p>
    <w:p w14:paraId="1085FB23" w14:textId="77777777" w:rsidR="00A13A26" w:rsidRDefault="00A13A26" w:rsidP="00636ED2">
      <w:pPr>
        <w:pStyle w:val="trt0xe"/>
        <w:shd w:val="clear" w:color="auto" w:fill="FFFFFF"/>
        <w:spacing w:before="0" w:beforeAutospacing="0" w:after="60" w:afterAutospacing="0"/>
        <w:jc w:val="both"/>
      </w:pPr>
    </w:p>
    <w:p w14:paraId="7E54D26F" w14:textId="35ACD324" w:rsidR="00A13A26" w:rsidRDefault="00A13A26" w:rsidP="00A13A26">
      <w:pPr>
        <w:pStyle w:val="trt0xe"/>
        <w:shd w:val="clear" w:color="auto" w:fill="FFFFFF"/>
        <w:spacing w:before="0" w:beforeAutospacing="0" w:after="60" w:afterAutospacing="0"/>
        <w:jc w:val="both"/>
        <w:rPr>
          <w:rStyle w:val="Hyperlink"/>
          <w:rFonts w:ascii="Arial" w:eastAsia="Calibri" w:hAnsi="Arial" w:cs="Arial"/>
          <w:sz w:val="20"/>
          <w:szCs w:val="20"/>
          <w:lang w:eastAsia="en-US"/>
        </w:rPr>
      </w:pPr>
      <w:r w:rsidRPr="00A13A26">
        <w:rPr>
          <w:rFonts w:ascii="Arial" w:eastAsia="Calibri" w:hAnsi="Arial" w:cs="Arial"/>
          <w:sz w:val="20"/>
          <w:szCs w:val="20"/>
          <w:lang w:eastAsia="en-US"/>
        </w:rPr>
        <w:t xml:space="preserve">[4] </w:t>
      </w:r>
      <w:r w:rsidRPr="00882260">
        <w:rPr>
          <w:rFonts w:ascii="Arial" w:eastAsia="Calibri" w:hAnsi="Arial" w:cs="Arial"/>
          <w:i/>
          <w:iCs/>
          <w:sz w:val="20"/>
          <w:szCs w:val="20"/>
          <w:lang w:eastAsia="en-US"/>
        </w:rPr>
        <w:t>Structure of multinational e</w:t>
      </w:r>
      <w:r w:rsidR="000037FE">
        <w:rPr>
          <w:rFonts w:ascii="Arial" w:eastAsia="Calibri" w:hAnsi="Arial" w:cs="Arial"/>
          <w:i/>
          <w:iCs/>
          <w:sz w:val="20"/>
          <w:szCs w:val="20"/>
          <w:lang w:eastAsia="en-US"/>
        </w:rPr>
        <w:t>n</w:t>
      </w:r>
      <w:r w:rsidRPr="00882260">
        <w:rPr>
          <w:rFonts w:ascii="Arial" w:eastAsia="Calibri" w:hAnsi="Arial" w:cs="Arial"/>
          <w:i/>
          <w:iCs/>
          <w:sz w:val="20"/>
          <w:szCs w:val="20"/>
          <w:lang w:eastAsia="en-US"/>
        </w:rPr>
        <w:t>terprise groups in EU</w:t>
      </w:r>
      <w:r w:rsidRPr="00A13A26">
        <w:rPr>
          <w:rFonts w:ascii="Arial" w:eastAsia="Calibri" w:hAnsi="Arial" w:cs="Arial"/>
          <w:sz w:val="20"/>
          <w:szCs w:val="20"/>
          <w:lang w:eastAsia="en-US"/>
        </w:rPr>
        <w:t xml:space="preserve"> (</w:t>
      </w:r>
      <w:hyperlink r:id="rId22" w:history="1">
        <w:r w:rsidRPr="00A13A26">
          <w:rPr>
            <w:rStyle w:val="Hyperlink"/>
            <w:rFonts w:ascii="Arial" w:eastAsia="Calibri" w:hAnsi="Arial" w:cs="Arial"/>
            <w:sz w:val="20"/>
            <w:szCs w:val="20"/>
            <w:lang w:eastAsia="en-US"/>
          </w:rPr>
          <w:t>https://ec.europa.eu/eurostat/statistics-explained/index.php?title=Structure_of_multinational_enterprise_groups_in_the_EU</w:t>
        </w:r>
      </w:hyperlink>
      <w:r w:rsidRPr="00A13A26">
        <w:rPr>
          <w:rFonts w:ascii="Arial" w:eastAsia="Calibri" w:hAnsi="Arial" w:cs="Arial"/>
          <w:sz w:val="20"/>
          <w:szCs w:val="20"/>
          <w:lang w:eastAsia="en-US"/>
        </w:rPr>
        <w:t>)</w:t>
      </w:r>
      <w:r w:rsidR="00882260">
        <w:rPr>
          <w:rFonts w:ascii="Arial" w:eastAsia="Calibri" w:hAnsi="Arial" w:cs="Arial"/>
          <w:sz w:val="20"/>
          <w:szCs w:val="20"/>
          <w:lang w:eastAsia="en-US"/>
        </w:rPr>
        <w:t xml:space="preserve"> - </w:t>
      </w:r>
      <w:hyperlink r:id="rId23" w:history="1">
        <w:r w:rsidR="00882260" w:rsidRPr="00882260">
          <w:rPr>
            <w:rStyle w:val="Hyperlink"/>
            <w:rFonts w:ascii="Arial" w:eastAsia="Calibri" w:hAnsi="Arial" w:cs="Arial"/>
            <w:sz w:val="20"/>
            <w:szCs w:val="20"/>
            <w:lang w:eastAsia="en-US"/>
          </w:rPr>
          <w:t>https://ec.europa.eu/eurostat/web/products-manuals-and-guidelines/-/KS-GQ-20-002</w:t>
        </w:r>
      </w:hyperlink>
    </w:p>
    <w:p w14:paraId="422CE937" w14:textId="07668246" w:rsidR="000A5915" w:rsidRDefault="000A5915" w:rsidP="00A13A26">
      <w:pPr>
        <w:pStyle w:val="trt0xe"/>
        <w:shd w:val="clear" w:color="auto" w:fill="FFFFFF"/>
        <w:spacing w:before="0" w:beforeAutospacing="0" w:after="60" w:afterAutospacing="0"/>
        <w:jc w:val="both"/>
        <w:rPr>
          <w:rStyle w:val="Hyperlink"/>
          <w:rFonts w:ascii="Arial" w:eastAsia="Calibri" w:hAnsi="Arial" w:cs="Arial"/>
          <w:sz w:val="20"/>
          <w:szCs w:val="20"/>
          <w:lang w:eastAsia="en-US"/>
        </w:rPr>
      </w:pPr>
    </w:p>
    <w:p w14:paraId="02A06238" w14:textId="4A33FF47" w:rsidR="000A5915" w:rsidRDefault="000A5915" w:rsidP="00A13A26">
      <w:pPr>
        <w:pStyle w:val="trt0xe"/>
        <w:shd w:val="clear" w:color="auto" w:fill="FFFFFF"/>
        <w:spacing w:before="0" w:beforeAutospacing="0" w:after="60" w:afterAutospacing="0"/>
        <w:jc w:val="both"/>
        <w:rPr>
          <w:rStyle w:val="Hyperlink"/>
          <w:rFonts w:ascii="Arial" w:eastAsia="Calibri" w:hAnsi="Arial" w:cs="Arial"/>
          <w:sz w:val="20"/>
          <w:szCs w:val="20"/>
          <w:lang w:eastAsia="en-US"/>
        </w:rPr>
      </w:pPr>
      <w:r>
        <w:rPr>
          <w:rStyle w:val="Hyperlink"/>
          <w:rFonts w:ascii="Arial" w:eastAsia="Calibri" w:hAnsi="Arial" w:cs="Arial"/>
          <w:sz w:val="20"/>
          <w:szCs w:val="20"/>
          <w:lang w:eastAsia="en-US"/>
        </w:rPr>
        <w:t xml:space="preserve">[5] </w:t>
      </w:r>
      <w:hyperlink r:id="rId24" w:history="1">
        <w:r w:rsidR="005E0876" w:rsidRPr="001C7D48">
          <w:rPr>
            <w:rStyle w:val="Hyperlink"/>
            <w:i/>
            <w:iCs/>
          </w:rPr>
          <w:t>European profiling - experiences of National statistical institutes</w:t>
        </w:r>
        <w:r w:rsidR="005E0876">
          <w:rPr>
            <w:rStyle w:val="Hyperlink"/>
          </w:rPr>
          <w:t xml:space="preserve"> - Statistics Explained (europa.eu)</w:t>
        </w:r>
      </w:hyperlink>
    </w:p>
    <w:p w14:paraId="7F10F09F" w14:textId="77777777" w:rsidR="000A5915" w:rsidRDefault="000A5915" w:rsidP="00A13A26">
      <w:pPr>
        <w:pStyle w:val="trt0xe"/>
        <w:shd w:val="clear" w:color="auto" w:fill="FFFFFF"/>
        <w:spacing w:before="0" w:beforeAutospacing="0" w:after="60" w:afterAutospacing="0"/>
        <w:jc w:val="both"/>
        <w:rPr>
          <w:rFonts w:ascii="Arial" w:eastAsia="Calibri" w:hAnsi="Arial" w:cs="Arial"/>
          <w:sz w:val="20"/>
          <w:szCs w:val="20"/>
          <w:lang w:eastAsia="en-US"/>
        </w:rPr>
      </w:pPr>
    </w:p>
    <w:p w14:paraId="05E5775D" w14:textId="77777777" w:rsidR="00A13A26" w:rsidRPr="00A13A26" w:rsidRDefault="00A13A26" w:rsidP="00A13A26">
      <w:pPr>
        <w:pStyle w:val="trt0xe"/>
        <w:shd w:val="clear" w:color="auto" w:fill="FFFFFF"/>
        <w:spacing w:before="0" w:beforeAutospacing="0" w:after="60" w:afterAutospacing="0"/>
        <w:jc w:val="both"/>
        <w:rPr>
          <w:rFonts w:ascii="Arial" w:eastAsia="Calibri" w:hAnsi="Arial" w:cs="Arial"/>
          <w:sz w:val="20"/>
          <w:szCs w:val="20"/>
          <w:lang w:eastAsia="en-US"/>
        </w:rPr>
      </w:pPr>
    </w:p>
    <w:p w14:paraId="5EA68406" w14:textId="4AE871F0" w:rsidR="00A13A26" w:rsidRDefault="00A13A26" w:rsidP="00A13A26">
      <w:pPr>
        <w:pStyle w:val="trt0xe"/>
        <w:shd w:val="clear" w:color="auto" w:fill="FFFFFF"/>
        <w:spacing w:before="0" w:beforeAutospacing="0" w:after="60" w:afterAutospacing="0"/>
        <w:jc w:val="both"/>
      </w:pPr>
      <w:r>
        <w:t>[</w:t>
      </w:r>
      <w:r w:rsidR="000A5915">
        <w:t>6</w:t>
      </w:r>
      <w:r>
        <w:t xml:space="preserve">] </w:t>
      </w:r>
      <w:hyperlink r:id="rId25" w:history="1">
        <w:r w:rsidRPr="00882260">
          <w:rPr>
            <w:rStyle w:val="Hyperlink"/>
            <w:i/>
            <w:iCs/>
          </w:rPr>
          <w:t>European business profiling — Recommendations manual — 2020 edition</w:t>
        </w:r>
        <w:r>
          <w:rPr>
            <w:rStyle w:val="Hyperlink"/>
          </w:rPr>
          <w:t xml:space="preserve"> - Products Manuals and Guidelines - Eurostat (europa.eu)</w:t>
        </w:r>
      </w:hyperlink>
      <w:r w:rsidR="00882260">
        <w:t xml:space="preserve"> - </w:t>
      </w:r>
      <w:hyperlink r:id="rId26" w:history="1">
        <w:r w:rsidR="00882260" w:rsidRPr="00882260">
          <w:rPr>
            <w:rStyle w:val="Hyperlink"/>
          </w:rPr>
          <w:t>https://ec.europa.eu/eurostat/web/products-manuals-and-guidelines/-/KS-GQ-20-002</w:t>
        </w:r>
      </w:hyperlink>
    </w:p>
    <w:p w14:paraId="76E01EDF" w14:textId="77777777" w:rsidR="00A13A26" w:rsidRDefault="00A13A26" w:rsidP="00A13A26">
      <w:pPr>
        <w:pStyle w:val="trt0xe"/>
        <w:shd w:val="clear" w:color="auto" w:fill="FFFFFF"/>
        <w:spacing w:before="0" w:beforeAutospacing="0" w:after="60" w:afterAutospacing="0"/>
        <w:jc w:val="both"/>
      </w:pPr>
    </w:p>
    <w:p w14:paraId="734D58C3" w14:textId="5267D76F" w:rsidR="006B5E39" w:rsidRDefault="006B5E39" w:rsidP="006B5E39">
      <w:pPr>
        <w:pStyle w:val="trt0xe"/>
        <w:shd w:val="clear" w:color="auto" w:fill="FFFFFF"/>
        <w:spacing w:before="0" w:beforeAutospacing="0" w:after="60" w:afterAutospacing="0"/>
        <w:jc w:val="both"/>
        <w:rPr>
          <w:rFonts w:ascii="Arial" w:eastAsia="Calibri" w:hAnsi="Arial" w:cs="Arial"/>
          <w:sz w:val="20"/>
          <w:szCs w:val="20"/>
          <w:lang w:val="en-US" w:eastAsia="en-US"/>
        </w:rPr>
      </w:pPr>
      <w:r w:rsidRPr="00EC2ACF">
        <w:rPr>
          <w:rFonts w:ascii="Arial" w:eastAsia="Calibri" w:hAnsi="Arial" w:cs="Arial"/>
          <w:sz w:val="20"/>
          <w:szCs w:val="20"/>
          <w:lang w:val="en-US" w:eastAsia="en-US"/>
        </w:rPr>
        <w:t>[</w:t>
      </w:r>
      <w:r w:rsidR="000A5915">
        <w:rPr>
          <w:rFonts w:ascii="Arial" w:eastAsia="Calibri" w:hAnsi="Arial" w:cs="Arial"/>
          <w:sz w:val="20"/>
          <w:szCs w:val="20"/>
          <w:lang w:val="en-US" w:eastAsia="en-US"/>
        </w:rPr>
        <w:t>7</w:t>
      </w:r>
      <w:r w:rsidRPr="00EC2ACF">
        <w:rPr>
          <w:rFonts w:ascii="Arial" w:eastAsia="Calibri" w:hAnsi="Arial" w:cs="Arial"/>
          <w:sz w:val="20"/>
          <w:szCs w:val="20"/>
          <w:lang w:val="en-US" w:eastAsia="en-US"/>
        </w:rPr>
        <w:t xml:space="preserve">] </w:t>
      </w:r>
      <w:proofErr w:type="spellStart"/>
      <w:r w:rsidRPr="00EC2ACF">
        <w:rPr>
          <w:rFonts w:ascii="Arial" w:eastAsia="Calibri" w:hAnsi="Arial" w:cs="Arial"/>
          <w:sz w:val="20"/>
          <w:szCs w:val="20"/>
          <w:lang w:val="en-US" w:eastAsia="en-US"/>
        </w:rPr>
        <w:t>Rommelspacher</w:t>
      </w:r>
      <w:proofErr w:type="spellEnd"/>
      <w:r w:rsidRPr="00EC2ACF">
        <w:rPr>
          <w:rFonts w:ascii="Arial" w:eastAsia="Calibri" w:hAnsi="Arial" w:cs="Arial"/>
          <w:sz w:val="20"/>
          <w:szCs w:val="20"/>
          <w:lang w:val="en-US" w:eastAsia="en-US"/>
        </w:rPr>
        <w:t xml:space="preserve"> (2021): </w:t>
      </w:r>
      <w:proofErr w:type="spellStart"/>
      <w:r w:rsidRPr="00EC2ACF">
        <w:rPr>
          <w:rFonts w:ascii="Arial" w:eastAsia="Calibri" w:hAnsi="Arial" w:cs="Arial"/>
          <w:sz w:val="20"/>
          <w:szCs w:val="20"/>
          <w:lang w:val="en-US" w:eastAsia="en-US"/>
        </w:rPr>
        <w:t>iProfAnT</w:t>
      </w:r>
      <w:proofErr w:type="spellEnd"/>
      <w:r w:rsidRPr="00EC2ACF">
        <w:rPr>
          <w:rFonts w:ascii="Arial" w:eastAsia="Calibri" w:hAnsi="Arial" w:cs="Arial"/>
          <w:sz w:val="20"/>
          <w:szCs w:val="20"/>
          <w:lang w:val="en-US" w:eastAsia="en-US"/>
        </w:rPr>
        <w:t xml:space="preserve"> – </w:t>
      </w:r>
      <w:r w:rsidRPr="0089368C">
        <w:rPr>
          <w:rFonts w:ascii="Arial" w:eastAsia="Calibri" w:hAnsi="Arial" w:cs="Arial"/>
          <w:i/>
          <w:iCs/>
          <w:sz w:val="20"/>
          <w:szCs w:val="20"/>
          <w:lang w:val="en-US" w:eastAsia="en-US"/>
        </w:rPr>
        <w:t>Integrated Profiling Analysis Tool</w:t>
      </w:r>
      <w:r w:rsidRPr="00EC2ACF">
        <w:rPr>
          <w:rFonts w:ascii="Arial" w:eastAsia="Calibri" w:hAnsi="Arial" w:cs="Arial"/>
          <w:sz w:val="20"/>
          <w:szCs w:val="20"/>
          <w:lang w:val="en-US" w:eastAsia="en-US"/>
        </w:rPr>
        <w:t>; 27th Meeting of the Wiesbaden Group on Business Registers, 20 – 24 September 2021, Mexico, Session Profiling and Large Cases Units</w:t>
      </w:r>
      <w:r w:rsidR="00834D89">
        <w:rPr>
          <w:rFonts w:ascii="Arial" w:eastAsia="Calibri" w:hAnsi="Arial" w:cs="Arial"/>
          <w:sz w:val="20"/>
          <w:szCs w:val="20"/>
          <w:lang w:val="en-US" w:eastAsia="en-US"/>
        </w:rPr>
        <w:t xml:space="preserve"> - </w:t>
      </w:r>
      <w:hyperlink r:id="rId27" w:history="1">
        <w:r w:rsidR="00834D89" w:rsidRPr="00834D89">
          <w:rPr>
            <w:rStyle w:val="Hyperlink"/>
            <w:rFonts w:ascii="Arial" w:eastAsia="Calibri" w:hAnsi="Arial" w:cs="Arial"/>
            <w:sz w:val="20"/>
            <w:szCs w:val="20"/>
            <w:lang w:val="en-US" w:eastAsia="en-US"/>
          </w:rPr>
          <w:t>https://www.inegi.org.mx/eventos/2021/wiesbaden/</w:t>
        </w:r>
      </w:hyperlink>
    </w:p>
    <w:p w14:paraId="4FAC0D28" w14:textId="7C661B83" w:rsidR="007534F8" w:rsidRPr="00EC2ACF" w:rsidRDefault="007534F8" w:rsidP="007534F8">
      <w:pPr>
        <w:pStyle w:val="trt0xe"/>
        <w:shd w:val="clear" w:color="auto" w:fill="FFFFFF"/>
        <w:spacing w:before="0" w:beforeAutospacing="0" w:after="60" w:afterAutospacing="0"/>
        <w:jc w:val="both"/>
        <w:rPr>
          <w:rFonts w:ascii="Arial" w:eastAsia="Calibri" w:hAnsi="Arial" w:cs="Arial"/>
          <w:sz w:val="20"/>
          <w:szCs w:val="20"/>
          <w:lang w:val="en-US" w:eastAsia="en-US"/>
        </w:rPr>
      </w:pPr>
    </w:p>
    <w:sectPr w:rsidR="007534F8" w:rsidRPr="00EC2ACF" w:rsidSect="00AC7BE8">
      <w:footerReference w:type="default" r:id="rId2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EF749" w14:textId="77777777" w:rsidR="003A47F7" w:rsidRDefault="003A47F7" w:rsidP="008E4BB5">
      <w:pPr>
        <w:spacing w:after="0" w:line="240" w:lineRule="auto"/>
      </w:pPr>
      <w:r>
        <w:separator/>
      </w:r>
    </w:p>
  </w:endnote>
  <w:endnote w:type="continuationSeparator" w:id="0">
    <w:p w14:paraId="48B4FDBD" w14:textId="77777777" w:rsidR="003A47F7" w:rsidRDefault="003A47F7" w:rsidP="008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5CC7" w14:textId="77777777" w:rsidR="00E07A7C" w:rsidRDefault="00E07A7C">
    <w:pPr>
      <w:pStyle w:val="Fuzeile"/>
      <w:jc w:val="center"/>
    </w:pPr>
    <w:r>
      <w:fldChar w:fldCharType="begin"/>
    </w:r>
    <w:r>
      <w:instrText>PAGE   \* MERGEFORMAT</w:instrText>
    </w:r>
    <w:r>
      <w:fldChar w:fldCharType="separate"/>
    </w:r>
    <w:r>
      <w:rPr>
        <w:lang w:val="de-DE"/>
      </w:rPr>
      <w:t>2</w:t>
    </w:r>
    <w:r>
      <w:fldChar w:fldCharType="end"/>
    </w:r>
  </w:p>
  <w:p w14:paraId="400DFEA8" w14:textId="77777777" w:rsidR="004F7D7B" w:rsidRDefault="004F7D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9A5A7" w14:textId="77777777" w:rsidR="003A47F7" w:rsidRDefault="003A47F7" w:rsidP="008E4BB5">
      <w:pPr>
        <w:spacing w:after="0" w:line="240" w:lineRule="auto"/>
      </w:pPr>
      <w:r>
        <w:separator/>
      </w:r>
    </w:p>
  </w:footnote>
  <w:footnote w:type="continuationSeparator" w:id="0">
    <w:p w14:paraId="4E70147C" w14:textId="77777777" w:rsidR="003A47F7" w:rsidRDefault="003A47F7" w:rsidP="008E4BB5">
      <w:pPr>
        <w:spacing w:after="0" w:line="240" w:lineRule="auto"/>
      </w:pPr>
      <w:r>
        <w:continuationSeparator/>
      </w:r>
    </w:p>
  </w:footnote>
  <w:footnote w:id="1">
    <w:p w14:paraId="33F9BF66" w14:textId="77777777" w:rsidR="00396D41" w:rsidRDefault="00396D41" w:rsidP="007A0A59">
      <w:r>
        <w:rPr>
          <w:rStyle w:val="Funotenzeichen"/>
        </w:rPr>
        <w:footnoteRef/>
      </w:r>
      <w:r>
        <w:t xml:space="preserve"> </w:t>
      </w:r>
      <w:r>
        <w:rPr>
          <w:rStyle w:val="ms-rtefontsize-1"/>
        </w:rPr>
        <w:t xml:space="preserve">DGINS Conference is held once a year with the aim of discussing topics related to the statistical </w:t>
      </w:r>
      <w:r w:rsidR="001D0F3A">
        <w:rPr>
          <w:rStyle w:val="ms-rtefontsize-1"/>
        </w:rPr>
        <w:t>program</w:t>
      </w:r>
      <w:r>
        <w:rPr>
          <w:rStyle w:val="ms-rtefontsize-1"/>
        </w:rPr>
        <w:t xml:space="preserve"> and methods and processes </w:t>
      </w:r>
      <w:r w:rsidR="00C9069C">
        <w:rPr>
          <w:rStyle w:val="ms-rtefontsize-1"/>
        </w:rPr>
        <w:t>to produce</w:t>
      </w:r>
      <w:r>
        <w:rPr>
          <w:rStyle w:val="ms-rtefontsize-1"/>
        </w:rPr>
        <w:t xml:space="preserve"> Community statistics. It is hosted each year by a different Member State and the Director-General of the host country chairs the conference.</w:t>
      </w:r>
    </w:p>
    <w:p w14:paraId="0F3086DF" w14:textId="77777777" w:rsidR="00396D41" w:rsidRPr="009E2CEE" w:rsidRDefault="00396D41" w:rsidP="007A0A59"/>
  </w:footnote>
  <w:footnote w:id="2">
    <w:p w14:paraId="4D59D3B5" w14:textId="036FDE5E" w:rsidR="009C7168" w:rsidRPr="009C7168" w:rsidRDefault="009C7168" w:rsidP="009C7168">
      <w:pPr>
        <w:pStyle w:val="Funotentext"/>
        <w:ind w:left="142" w:hanging="153"/>
      </w:pPr>
      <w:r>
        <w:rPr>
          <w:rStyle w:val="Funotenzeichen"/>
        </w:rPr>
        <w:footnoteRef/>
      </w:r>
      <w:r>
        <w:t xml:space="preserve"> Intellectual property products are defined as produced non-financial assets that are the result of research, development, </w:t>
      </w:r>
      <w:r w:rsidR="00317CF9">
        <w:t>investigation,</w:t>
      </w:r>
      <w:r>
        <w:t xml:space="preserve"> or innovation which </w:t>
      </w:r>
      <w:r w:rsidR="001A2FE6">
        <w:t>led</w:t>
      </w:r>
      <w:r>
        <w:t xml:space="preserve"> to knowledge that the developers can market or use to their own benefit in production, because use of the knowledge is restricted by means of legal or other </w:t>
      </w:r>
      <w:r w:rsidR="00317CF9">
        <w:t>protection.</w:t>
      </w:r>
    </w:p>
  </w:footnote>
  <w:footnote w:id="3">
    <w:p w14:paraId="0A1BB175" w14:textId="59D705C7" w:rsidR="00895AA2" w:rsidRPr="00895AA2" w:rsidRDefault="00895AA2">
      <w:pPr>
        <w:pStyle w:val="Funotentext"/>
      </w:pPr>
      <w:r>
        <w:rPr>
          <w:rStyle w:val="Funotenzeichen"/>
        </w:rPr>
        <w:footnoteRef/>
      </w:r>
      <w:r>
        <w:t xml:space="preserve"> We </w:t>
      </w:r>
      <w:r w:rsidRPr="00895AA2">
        <w:t xml:space="preserve">use the word </w:t>
      </w:r>
      <w:r>
        <w:t>“</w:t>
      </w:r>
      <w:r w:rsidRPr="00895AA2">
        <w:t>dec</w:t>
      </w:r>
      <w:r>
        <w:t>i</w:t>
      </w:r>
      <w:r w:rsidRPr="00895AA2">
        <w:t>le</w:t>
      </w:r>
      <w:r>
        <w:t>”</w:t>
      </w:r>
      <w:r w:rsidRPr="00895AA2">
        <w:t xml:space="preserve"> to simplify the reading, </w:t>
      </w:r>
      <w:r>
        <w:t xml:space="preserve">but </w:t>
      </w:r>
      <w:r w:rsidRPr="00895AA2">
        <w:t xml:space="preserve">to be precise, we should use the term </w:t>
      </w:r>
      <w:r>
        <w:t>“</w:t>
      </w:r>
      <w:r w:rsidRPr="00895AA2">
        <w:t>decile</w:t>
      </w:r>
      <w:r>
        <w:t>”</w:t>
      </w:r>
      <w:r w:rsidRPr="00895AA2">
        <w:t xml:space="preserve"> for all variables and the </w:t>
      </w:r>
      <w:r>
        <w:t>“</w:t>
      </w:r>
      <w:r w:rsidRPr="00895AA2">
        <w:t>25th percentile</w:t>
      </w:r>
      <w:r>
        <w:t>”</w:t>
      </w:r>
      <w:r w:rsidRPr="00895AA2">
        <w:t xml:space="preserve"> for employment</w:t>
      </w:r>
      <w:r w:rsidR="003F2C82">
        <w:t>.</w:t>
      </w:r>
    </w:p>
  </w:footnote>
  <w:footnote w:id="4">
    <w:p w14:paraId="63737BCA" w14:textId="77777777" w:rsidR="007A0A59" w:rsidRPr="007A0A59" w:rsidRDefault="007A0A59" w:rsidP="007A0A59">
      <w:pPr>
        <w:rPr>
          <w:lang w:val="en-IE"/>
        </w:rPr>
      </w:pPr>
      <w:r>
        <w:rPr>
          <w:rStyle w:val="Funotenzeichen"/>
        </w:rPr>
        <w:footnoteRef/>
      </w:r>
      <w:r>
        <w:t xml:space="preserve"> </w:t>
      </w:r>
      <w:r w:rsidRPr="002B3261">
        <w:rPr>
          <w:rFonts w:ascii="Times New Roman" w:eastAsia="Times New Roman" w:hAnsi="Times New Roman"/>
          <w:sz w:val="20"/>
          <w:szCs w:val="20"/>
          <w:lang w:val="en-GB"/>
        </w:rPr>
        <w:t>We define in the European Business regulations the </w:t>
      </w:r>
      <w:r w:rsidRPr="002B3261">
        <w:rPr>
          <w:rFonts w:ascii="Times New Roman" w:eastAsia="Times New Roman" w:hAnsi="Times New Roman"/>
          <w:b/>
          <w:bCs/>
          <w:sz w:val="20"/>
          <w:szCs w:val="20"/>
          <w:lang w:val="en-GB"/>
        </w:rPr>
        <w:t>global decision centre</w:t>
      </w:r>
      <w:r w:rsidRPr="002B3261">
        <w:rPr>
          <w:rFonts w:ascii="Times New Roman" w:eastAsia="Times New Roman" w:hAnsi="Times New Roman"/>
          <w:sz w:val="20"/>
          <w:szCs w:val="20"/>
          <w:lang w:val="en-GB"/>
        </w:rPr>
        <w:t> (GDC) of an enterprise group which is the unit where the enterprise group level strategic decisions are taken.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343"/>
    <w:multiLevelType w:val="hybridMultilevel"/>
    <w:tmpl w:val="C6BCADD6"/>
    <w:lvl w:ilvl="0" w:tplc="39C22452">
      <w:numFmt w:val="bullet"/>
      <w:lvlText w:val="-"/>
      <w:lvlJc w:val="left"/>
      <w:rPr>
        <w:rFonts w:ascii="Calibri" w:eastAsia="Calibri" w:hAnsi="Calibri" w:cs="Calibri" w:hint="default"/>
      </w:rPr>
    </w:lvl>
    <w:lvl w:ilvl="1" w:tplc="FFFFFFFF" w:tentative="1">
      <w:start w:val="1"/>
      <w:numFmt w:val="bullet"/>
      <w:lvlText w:val="o"/>
      <w:lvlJc w:val="left"/>
      <w:pPr>
        <w:ind w:left="6480" w:hanging="360"/>
      </w:pPr>
      <w:rPr>
        <w:rFonts w:ascii="Courier New" w:hAnsi="Courier New" w:cs="Courier New" w:hint="default"/>
      </w:rPr>
    </w:lvl>
    <w:lvl w:ilvl="2" w:tplc="FFFFFFFF" w:tentative="1">
      <w:start w:val="1"/>
      <w:numFmt w:val="bullet"/>
      <w:lvlText w:val=""/>
      <w:lvlJc w:val="left"/>
      <w:pPr>
        <w:ind w:left="7200" w:hanging="360"/>
      </w:pPr>
      <w:rPr>
        <w:rFonts w:ascii="Wingdings" w:hAnsi="Wingdings" w:hint="default"/>
      </w:rPr>
    </w:lvl>
    <w:lvl w:ilvl="3" w:tplc="FFFFFFFF" w:tentative="1">
      <w:start w:val="1"/>
      <w:numFmt w:val="bullet"/>
      <w:lvlText w:val=""/>
      <w:lvlJc w:val="left"/>
      <w:pPr>
        <w:ind w:left="7920" w:hanging="360"/>
      </w:pPr>
      <w:rPr>
        <w:rFonts w:ascii="Symbol" w:hAnsi="Symbol" w:hint="default"/>
      </w:rPr>
    </w:lvl>
    <w:lvl w:ilvl="4" w:tplc="FFFFFFFF" w:tentative="1">
      <w:start w:val="1"/>
      <w:numFmt w:val="bullet"/>
      <w:lvlText w:val="o"/>
      <w:lvlJc w:val="left"/>
      <w:pPr>
        <w:ind w:left="8640" w:hanging="360"/>
      </w:pPr>
      <w:rPr>
        <w:rFonts w:ascii="Courier New" w:hAnsi="Courier New" w:cs="Courier New" w:hint="default"/>
      </w:rPr>
    </w:lvl>
    <w:lvl w:ilvl="5" w:tplc="FFFFFFFF" w:tentative="1">
      <w:start w:val="1"/>
      <w:numFmt w:val="bullet"/>
      <w:lvlText w:val=""/>
      <w:lvlJc w:val="left"/>
      <w:pPr>
        <w:ind w:left="9360" w:hanging="360"/>
      </w:pPr>
      <w:rPr>
        <w:rFonts w:ascii="Wingdings" w:hAnsi="Wingdings" w:hint="default"/>
      </w:rPr>
    </w:lvl>
    <w:lvl w:ilvl="6" w:tplc="FFFFFFFF" w:tentative="1">
      <w:start w:val="1"/>
      <w:numFmt w:val="bullet"/>
      <w:lvlText w:val=""/>
      <w:lvlJc w:val="left"/>
      <w:pPr>
        <w:ind w:left="10080" w:hanging="360"/>
      </w:pPr>
      <w:rPr>
        <w:rFonts w:ascii="Symbol" w:hAnsi="Symbol" w:hint="default"/>
      </w:rPr>
    </w:lvl>
    <w:lvl w:ilvl="7" w:tplc="FFFFFFFF" w:tentative="1">
      <w:start w:val="1"/>
      <w:numFmt w:val="bullet"/>
      <w:lvlText w:val="o"/>
      <w:lvlJc w:val="left"/>
      <w:pPr>
        <w:ind w:left="10800" w:hanging="360"/>
      </w:pPr>
      <w:rPr>
        <w:rFonts w:ascii="Courier New" w:hAnsi="Courier New" w:cs="Courier New" w:hint="default"/>
      </w:rPr>
    </w:lvl>
    <w:lvl w:ilvl="8" w:tplc="FFFFFFFF" w:tentative="1">
      <w:start w:val="1"/>
      <w:numFmt w:val="bullet"/>
      <w:lvlText w:val=""/>
      <w:lvlJc w:val="left"/>
      <w:pPr>
        <w:ind w:left="11520" w:hanging="360"/>
      </w:pPr>
      <w:rPr>
        <w:rFonts w:ascii="Wingdings" w:hAnsi="Wingdings" w:hint="default"/>
      </w:rPr>
    </w:lvl>
  </w:abstractNum>
  <w:abstractNum w:abstractNumId="1" w15:restartNumberingAfterBreak="0">
    <w:nsid w:val="08AB4815"/>
    <w:multiLevelType w:val="multilevel"/>
    <w:tmpl w:val="2EE426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FB7115"/>
    <w:multiLevelType w:val="multilevel"/>
    <w:tmpl w:val="3D123DD2"/>
    <w:name w:val="ListNumber3Numbering"/>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CD71042"/>
    <w:multiLevelType w:val="multilevel"/>
    <w:tmpl w:val="CB4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76346"/>
    <w:multiLevelType w:val="multilevel"/>
    <w:tmpl w:val="A1EC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F8849AC"/>
    <w:multiLevelType w:val="multilevel"/>
    <w:tmpl w:val="884683D8"/>
    <w:lvl w:ilvl="0">
      <w:numFmt w:val="bullet"/>
      <w:lvlText w:val="-"/>
      <w:lvlJc w:val="left"/>
      <w:rPr>
        <w:rFonts w:ascii="Calibri" w:eastAsia="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223B7A"/>
    <w:multiLevelType w:val="hybridMultilevel"/>
    <w:tmpl w:val="F5E26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971F0"/>
    <w:multiLevelType w:val="multilevel"/>
    <w:tmpl w:val="A8B485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5ED3D4D"/>
    <w:multiLevelType w:val="hybridMultilevel"/>
    <w:tmpl w:val="E752B8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C620D"/>
    <w:multiLevelType w:val="hybridMultilevel"/>
    <w:tmpl w:val="CB2E3DB8"/>
    <w:lvl w:ilvl="0" w:tplc="39C22452">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C0CA9"/>
    <w:multiLevelType w:val="multilevel"/>
    <w:tmpl w:val="C4B28442"/>
    <w:lvl w:ilvl="0">
      <w:numFmt w:val="bullet"/>
      <w:lvlText w:val="-"/>
      <w:lvlJc w:val="left"/>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582078"/>
    <w:multiLevelType w:val="hybridMultilevel"/>
    <w:tmpl w:val="823C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55BB8"/>
    <w:multiLevelType w:val="hybridMultilevel"/>
    <w:tmpl w:val="C7B4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71DF5"/>
    <w:multiLevelType w:val="hybridMultilevel"/>
    <w:tmpl w:val="F288D44C"/>
    <w:lvl w:ilvl="0" w:tplc="56520A7E">
      <w:numFmt w:val="bullet"/>
      <w:lvlText w:val="-"/>
      <w:lvlJc w:val="left"/>
      <w:pPr>
        <w:ind w:left="720" w:hanging="36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A509EF"/>
    <w:multiLevelType w:val="hybridMultilevel"/>
    <w:tmpl w:val="1DCEF15E"/>
    <w:lvl w:ilvl="0" w:tplc="39C22452">
      <w:numFmt w:val="bullet"/>
      <w:lvlText w:val="-"/>
      <w:lvlJc w:val="left"/>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7E00B9"/>
    <w:multiLevelType w:val="hybridMultilevel"/>
    <w:tmpl w:val="6B7257C8"/>
    <w:lvl w:ilvl="0" w:tplc="46D0FFE4">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87960BC"/>
    <w:multiLevelType w:val="hybridMultilevel"/>
    <w:tmpl w:val="7652BDB0"/>
    <w:lvl w:ilvl="0" w:tplc="39C22452">
      <w:numFmt w:val="bullet"/>
      <w:lvlText w:val="-"/>
      <w:lvlJc w:val="left"/>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7F50EA"/>
    <w:multiLevelType w:val="hybridMultilevel"/>
    <w:tmpl w:val="CD40C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0B53AE0"/>
    <w:multiLevelType w:val="hybridMultilevel"/>
    <w:tmpl w:val="3F2CD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E78537E"/>
    <w:multiLevelType w:val="hybridMultilevel"/>
    <w:tmpl w:val="81C4A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7F2C5B"/>
    <w:multiLevelType w:val="multilevel"/>
    <w:tmpl w:val="4D7606C0"/>
    <w:lvl w:ilvl="0">
      <w:start w:val="2"/>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70117B7D"/>
    <w:multiLevelType w:val="hybridMultilevel"/>
    <w:tmpl w:val="0D3C31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2BC6AEC"/>
    <w:multiLevelType w:val="hybridMultilevel"/>
    <w:tmpl w:val="E5164464"/>
    <w:lvl w:ilvl="0" w:tplc="39C22452">
      <w:numFmt w:val="bullet"/>
      <w:lvlText w:val="-"/>
      <w:lvlJc w:val="left"/>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CA3CE7"/>
    <w:multiLevelType w:val="hybridMultilevel"/>
    <w:tmpl w:val="36FC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E4F19"/>
    <w:multiLevelType w:val="hybridMultilevel"/>
    <w:tmpl w:val="B7EC6E72"/>
    <w:lvl w:ilvl="0" w:tplc="39C22452">
      <w:numFmt w:val="bullet"/>
      <w:lvlText w:val="-"/>
      <w:lvlJc w:val="left"/>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C1F7737"/>
    <w:multiLevelType w:val="hybridMultilevel"/>
    <w:tmpl w:val="94680846"/>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C65145E"/>
    <w:multiLevelType w:val="multilevel"/>
    <w:tmpl w:val="08029972"/>
    <w:name w:val="EurolookHeading"/>
    <w:lvl w:ilvl="0">
      <w:start w:val="1"/>
      <w:numFmt w:val="decimal"/>
      <w:pStyle w:val="berschrift1"/>
      <w:lvlText w:val="%1."/>
      <w:lvlJc w:val="left"/>
      <w:pPr>
        <w:tabs>
          <w:tab w:val="num" w:pos="482"/>
        </w:tabs>
        <w:ind w:left="482" w:hanging="482"/>
      </w:pPr>
      <w:rPr>
        <w:rFonts w:hint="default"/>
      </w:rPr>
    </w:lvl>
    <w:lvl w:ilvl="1">
      <w:start w:val="1"/>
      <w:numFmt w:val="decimal"/>
      <w:pStyle w:val="berschrift2"/>
      <w:lvlText w:val="%1.%2."/>
      <w:lvlJc w:val="left"/>
      <w:pPr>
        <w:tabs>
          <w:tab w:val="num" w:pos="1202"/>
        </w:tabs>
        <w:ind w:left="1202" w:hanging="720"/>
      </w:pPr>
      <w:rPr>
        <w:rFonts w:hint="default"/>
      </w:rPr>
    </w:lvl>
    <w:lvl w:ilvl="2">
      <w:start w:val="1"/>
      <w:numFmt w:val="decimal"/>
      <w:pStyle w:val="berschrift3"/>
      <w:lvlText w:val="%1.%2.%3."/>
      <w:lvlJc w:val="left"/>
      <w:pPr>
        <w:tabs>
          <w:tab w:val="num" w:pos="1922"/>
        </w:tabs>
        <w:ind w:left="1922" w:hanging="720"/>
      </w:pPr>
      <w:rPr>
        <w:rFonts w:hint="default"/>
      </w:rPr>
    </w:lvl>
    <w:lvl w:ilvl="3">
      <w:start w:val="1"/>
      <w:numFmt w:val="decimal"/>
      <w:pStyle w:val="berschrift4"/>
      <w:lvlText w:val="%1.%2.%3.%4."/>
      <w:lvlJc w:val="left"/>
      <w:pPr>
        <w:tabs>
          <w:tab w:val="num" w:pos="1922"/>
        </w:tabs>
        <w:ind w:left="1922" w:hanging="720"/>
      </w:pPr>
      <w:rPr>
        <w:rFonts w:hint="default"/>
      </w:rPr>
    </w:lvl>
    <w:lvl w:ilvl="4">
      <w:start w:val="1"/>
      <w:numFmt w:val="decimal"/>
      <w:pStyle w:val="berschrift5"/>
      <w:lvlText w:val="%1.%2.%3.%4.%5."/>
      <w:lvlJc w:val="left"/>
      <w:pPr>
        <w:tabs>
          <w:tab w:val="num" w:pos="2880"/>
        </w:tabs>
        <w:ind w:left="3838" w:hanging="958"/>
      </w:pPr>
      <w:rPr>
        <w:rFonts w:hint="default"/>
      </w:rPr>
    </w:lvl>
    <w:lvl w:ilvl="5">
      <w:start w:val="1"/>
      <w:numFmt w:val="decimal"/>
      <w:pStyle w:val="berschrift6"/>
      <w:lvlText w:val="%1.%2.%3.%4.%5.%6."/>
      <w:lvlJc w:val="left"/>
      <w:pPr>
        <w:tabs>
          <w:tab w:val="num" w:pos="2880"/>
        </w:tabs>
        <w:ind w:left="3838" w:hanging="958"/>
      </w:pPr>
      <w:rPr>
        <w:rFonts w:hint="default"/>
      </w:rPr>
    </w:lvl>
    <w:lvl w:ilvl="6">
      <w:start w:val="1"/>
      <w:numFmt w:val="decimal"/>
      <w:pStyle w:val="berschrift7"/>
      <w:lvlText w:val="%1.%2.%3.%4.%5.%6.%7."/>
      <w:lvlJc w:val="left"/>
      <w:pPr>
        <w:tabs>
          <w:tab w:val="num" w:pos="2880"/>
        </w:tabs>
        <w:ind w:left="3838" w:hanging="958"/>
      </w:pPr>
      <w:rPr>
        <w:rFonts w:hint="default"/>
      </w:rPr>
    </w:lvl>
    <w:lvl w:ilvl="7">
      <w:start w:val="1"/>
      <w:numFmt w:val="decimal"/>
      <w:pStyle w:val="berschrift8"/>
      <w:lvlText w:val="%1.%2.%3.%4.%5.%6.%7.%8."/>
      <w:lvlJc w:val="left"/>
      <w:pPr>
        <w:tabs>
          <w:tab w:val="num" w:pos="2880"/>
        </w:tabs>
        <w:ind w:left="3838" w:hanging="958"/>
      </w:pPr>
      <w:rPr>
        <w:rFonts w:hint="default"/>
      </w:rPr>
    </w:lvl>
    <w:lvl w:ilvl="8">
      <w:start w:val="1"/>
      <w:numFmt w:val="decimal"/>
      <w:pStyle w:val="berschrift9"/>
      <w:lvlText w:val="%1.%2.%3.%4.%5.%6.%7.%8.%9."/>
      <w:lvlJc w:val="left"/>
      <w:pPr>
        <w:tabs>
          <w:tab w:val="num" w:pos="2880"/>
        </w:tabs>
        <w:ind w:left="3838" w:hanging="958"/>
      </w:pPr>
      <w:rPr>
        <w:rFonts w:hint="default"/>
      </w:rPr>
    </w:lvl>
  </w:abstractNum>
  <w:num w:numId="1">
    <w:abstractNumId w:val="6"/>
  </w:num>
  <w:num w:numId="2">
    <w:abstractNumId w:val="18"/>
  </w:num>
  <w:num w:numId="3">
    <w:abstractNumId w:val="25"/>
  </w:num>
  <w:num w:numId="4">
    <w:abstractNumId w:val="8"/>
  </w:num>
  <w:num w:numId="5">
    <w:abstractNumId w:val="23"/>
  </w:num>
  <w:num w:numId="6">
    <w:abstractNumId w:val="3"/>
  </w:num>
  <w:num w:numId="7">
    <w:abstractNumId w:val="26"/>
  </w:num>
  <w:num w:numId="8">
    <w:abstractNumId w:val="1"/>
  </w:num>
  <w:num w:numId="9">
    <w:abstractNumId w:val="4"/>
  </w:num>
  <w:num w:numId="10">
    <w:abstractNumId w:val="12"/>
  </w:num>
  <w:num w:numId="11">
    <w:abstractNumId w:val="11"/>
  </w:num>
  <w:num w:numId="12">
    <w:abstractNumId w:val="17"/>
  </w:num>
  <w:num w:numId="13">
    <w:abstractNumId w:val="7"/>
  </w:num>
  <w:num w:numId="14">
    <w:abstractNumId w:val="20"/>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num>
  <w:num w:numId="18">
    <w:abstractNumId w:val="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0"/>
  </w:num>
  <w:num w:numId="25">
    <w:abstractNumId w:val="14"/>
  </w:num>
  <w:num w:numId="26">
    <w:abstractNumId w:val="5"/>
  </w:num>
  <w:num w:numId="27">
    <w:abstractNumId w:val="22"/>
  </w:num>
  <w:num w:numId="28">
    <w:abstractNumId w:val="16"/>
  </w:num>
  <w:num w:numId="29">
    <w:abstractNumId w:val="10"/>
  </w:num>
  <w:num w:numId="30">
    <w:abstractNumId w:val="2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1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fi-FI"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fr-FR" w:vendorID="64" w:dllVersion="4096" w:nlCheck="1" w:checkStyle="0"/>
  <w:activeWritingStyle w:appName="MSWord" w:lang="fr-BE" w:vendorID="64" w:dllVersion="4096"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54"/>
    <w:rsid w:val="0000341F"/>
    <w:rsid w:val="000037FE"/>
    <w:rsid w:val="0001152D"/>
    <w:rsid w:val="0001256B"/>
    <w:rsid w:val="00012E6F"/>
    <w:rsid w:val="00014E29"/>
    <w:rsid w:val="00022FAC"/>
    <w:rsid w:val="0002483D"/>
    <w:rsid w:val="000422C0"/>
    <w:rsid w:val="00045178"/>
    <w:rsid w:val="00047E3F"/>
    <w:rsid w:val="000504BA"/>
    <w:rsid w:val="00051B12"/>
    <w:rsid w:val="00053C56"/>
    <w:rsid w:val="00064280"/>
    <w:rsid w:val="00066154"/>
    <w:rsid w:val="0008161B"/>
    <w:rsid w:val="00093040"/>
    <w:rsid w:val="000A5915"/>
    <w:rsid w:val="000A6B1E"/>
    <w:rsid w:val="000B4AEC"/>
    <w:rsid w:val="000B5D51"/>
    <w:rsid w:val="000B5EEC"/>
    <w:rsid w:val="000C1744"/>
    <w:rsid w:val="000D0853"/>
    <w:rsid w:val="000D58C8"/>
    <w:rsid w:val="000E27EF"/>
    <w:rsid w:val="000E359F"/>
    <w:rsid w:val="000F2AA5"/>
    <w:rsid w:val="000F58F5"/>
    <w:rsid w:val="001054FF"/>
    <w:rsid w:val="001147B4"/>
    <w:rsid w:val="00125134"/>
    <w:rsid w:val="001261DE"/>
    <w:rsid w:val="001313F8"/>
    <w:rsid w:val="00131CA7"/>
    <w:rsid w:val="00147C10"/>
    <w:rsid w:val="00155EAE"/>
    <w:rsid w:val="00160776"/>
    <w:rsid w:val="001677F2"/>
    <w:rsid w:val="001712DB"/>
    <w:rsid w:val="00176817"/>
    <w:rsid w:val="00182C39"/>
    <w:rsid w:val="00183E73"/>
    <w:rsid w:val="001919E2"/>
    <w:rsid w:val="00194ACD"/>
    <w:rsid w:val="001A2FE6"/>
    <w:rsid w:val="001A40E9"/>
    <w:rsid w:val="001A7FF5"/>
    <w:rsid w:val="001C532E"/>
    <w:rsid w:val="001C7D48"/>
    <w:rsid w:val="001D0F3A"/>
    <w:rsid w:val="001D27EF"/>
    <w:rsid w:val="001D3474"/>
    <w:rsid w:val="001E0B86"/>
    <w:rsid w:val="001E19BB"/>
    <w:rsid w:val="001E28E4"/>
    <w:rsid w:val="001E29B4"/>
    <w:rsid w:val="001E7671"/>
    <w:rsid w:val="001F621B"/>
    <w:rsid w:val="00212E85"/>
    <w:rsid w:val="0023583B"/>
    <w:rsid w:val="002369E8"/>
    <w:rsid w:val="00244526"/>
    <w:rsid w:val="00246559"/>
    <w:rsid w:val="00267EC5"/>
    <w:rsid w:val="002732DA"/>
    <w:rsid w:val="0027438A"/>
    <w:rsid w:val="00274F57"/>
    <w:rsid w:val="00276A9F"/>
    <w:rsid w:val="00280E09"/>
    <w:rsid w:val="0028180C"/>
    <w:rsid w:val="00286626"/>
    <w:rsid w:val="002A3BD0"/>
    <w:rsid w:val="002B30D7"/>
    <w:rsid w:val="002B3261"/>
    <w:rsid w:val="002D1065"/>
    <w:rsid w:val="002D22B9"/>
    <w:rsid w:val="00300134"/>
    <w:rsid w:val="0030284B"/>
    <w:rsid w:val="003120CD"/>
    <w:rsid w:val="00312C17"/>
    <w:rsid w:val="00313B11"/>
    <w:rsid w:val="00317CF9"/>
    <w:rsid w:val="00317FB7"/>
    <w:rsid w:val="00327050"/>
    <w:rsid w:val="00331932"/>
    <w:rsid w:val="00342C2D"/>
    <w:rsid w:val="003540C1"/>
    <w:rsid w:val="003571F5"/>
    <w:rsid w:val="00364921"/>
    <w:rsid w:val="003654D3"/>
    <w:rsid w:val="00380711"/>
    <w:rsid w:val="00391616"/>
    <w:rsid w:val="003966A3"/>
    <w:rsid w:val="00396D41"/>
    <w:rsid w:val="003A47F7"/>
    <w:rsid w:val="003A5D75"/>
    <w:rsid w:val="003A732F"/>
    <w:rsid w:val="003D7D6A"/>
    <w:rsid w:val="003E09E4"/>
    <w:rsid w:val="003E0F6C"/>
    <w:rsid w:val="003F2C82"/>
    <w:rsid w:val="003F6529"/>
    <w:rsid w:val="00411D4E"/>
    <w:rsid w:val="00413752"/>
    <w:rsid w:val="00414963"/>
    <w:rsid w:val="004228E5"/>
    <w:rsid w:val="00423D8A"/>
    <w:rsid w:val="00425ED8"/>
    <w:rsid w:val="0043278B"/>
    <w:rsid w:val="00444DBF"/>
    <w:rsid w:val="004514F0"/>
    <w:rsid w:val="00453A48"/>
    <w:rsid w:val="00457EFE"/>
    <w:rsid w:val="00460421"/>
    <w:rsid w:val="00460920"/>
    <w:rsid w:val="00464A8C"/>
    <w:rsid w:val="004679C9"/>
    <w:rsid w:val="0047003C"/>
    <w:rsid w:val="004768A1"/>
    <w:rsid w:val="004778B5"/>
    <w:rsid w:val="0048017A"/>
    <w:rsid w:val="004820A6"/>
    <w:rsid w:val="00495075"/>
    <w:rsid w:val="004971BE"/>
    <w:rsid w:val="004A06D0"/>
    <w:rsid w:val="004A55C2"/>
    <w:rsid w:val="004A6602"/>
    <w:rsid w:val="004B202E"/>
    <w:rsid w:val="004B67DF"/>
    <w:rsid w:val="004B6E1C"/>
    <w:rsid w:val="004C76D3"/>
    <w:rsid w:val="004D2EA1"/>
    <w:rsid w:val="004D3924"/>
    <w:rsid w:val="004E02BC"/>
    <w:rsid w:val="004E3469"/>
    <w:rsid w:val="004E39BD"/>
    <w:rsid w:val="004F0C62"/>
    <w:rsid w:val="004F4C23"/>
    <w:rsid w:val="004F7D7B"/>
    <w:rsid w:val="00502368"/>
    <w:rsid w:val="005030C8"/>
    <w:rsid w:val="00546EED"/>
    <w:rsid w:val="00552276"/>
    <w:rsid w:val="0055457A"/>
    <w:rsid w:val="00554E5C"/>
    <w:rsid w:val="005772EA"/>
    <w:rsid w:val="005869A9"/>
    <w:rsid w:val="0059099D"/>
    <w:rsid w:val="005B05D1"/>
    <w:rsid w:val="005B1342"/>
    <w:rsid w:val="005B148E"/>
    <w:rsid w:val="005B6356"/>
    <w:rsid w:val="005C00F1"/>
    <w:rsid w:val="005C1188"/>
    <w:rsid w:val="005D104A"/>
    <w:rsid w:val="005E021E"/>
    <w:rsid w:val="005E0876"/>
    <w:rsid w:val="005E4D5B"/>
    <w:rsid w:val="005E52D2"/>
    <w:rsid w:val="005F3A66"/>
    <w:rsid w:val="005F4414"/>
    <w:rsid w:val="006035FC"/>
    <w:rsid w:val="00605999"/>
    <w:rsid w:val="006160B1"/>
    <w:rsid w:val="00625130"/>
    <w:rsid w:val="00633179"/>
    <w:rsid w:val="00636ED2"/>
    <w:rsid w:val="006423D6"/>
    <w:rsid w:val="00653262"/>
    <w:rsid w:val="00653484"/>
    <w:rsid w:val="00660EFA"/>
    <w:rsid w:val="006842BC"/>
    <w:rsid w:val="006965DE"/>
    <w:rsid w:val="006976A8"/>
    <w:rsid w:val="006A3226"/>
    <w:rsid w:val="006A69BF"/>
    <w:rsid w:val="006B5E39"/>
    <w:rsid w:val="006B6CCA"/>
    <w:rsid w:val="006C0640"/>
    <w:rsid w:val="006C07F4"/>
    <w:rsid w:val="006C41FA"/>
    <w:rsid w:val="006C4F5A"/>
    <w:rsid w:val="006D0FB8"/>
    <w:rsid w:val="006D6BD2"/>
    <w:rsid w:val="006E1601"/>
    <w:rsid w:val="006F0626"/>
    <w:rsid w:val="006F3799"/>
    <w:rsid w:val="006F55BE"/>
    <w:rsid w:val="00704D2F"/>
    <w:rsid w:val="00707E0B"/>
    <w:rsid w:val="007126C7"/>
    <w:rsid w:val="00725E08"/>
    <w:rsid w:val="00741635"/>
    <w:rsid w:val="007435CB"/>
    <w:rsid w:val="007522EB"/>
    <w:rsid w:val="007534F8"/>
    <w:rsid w:val="00756166"/>
    <w:rsid w:val="007563A1"/>
    <w:rsid w:val="00757C72"/>
    <w:rsid w:val="007635A7"/>
    <w:rsid w:val="00772730"/>
    <w:rsid w:val="00797500"/>
    <w:rsid w:val="007A0A59"/>
    <w:rsid w:val="007A22E6"/>
    <w:rsid w:val="007B3768"/>
    <w:rsid w:val="007B3B32"/>
    <w:rsid w:val="007B45E6"/>
    <w:rsid w:val="007B60D4"/>
    <w:rsid w:val="007C30B1"/>
    <w:rsid w:val="007C4B75"/>
    <w:rsid w:val="007D0F8C"/>
    <w:rsid w:val="007D5B6C"/>
    <w:rsid w:val="007D5C54"/>
    <w:rsid w:val="007D6470"/>
    <w:rsid w:val="007F7D32"/>
    <w:rsid w:val="0080057C"/>
    <w:rsid w:val="0081104B"/>
    <w:rsid w:val="008136C6"/>
    <w:rsid w:val="008221B5"/>
    <w:rsid w:val="0082419A"/>
    <w:rsid w:val="00824F19"/>
    <w:rsid w:val="0082642C"/>
    <w:rsid w:val="00834D89"/>
    <w:rsid w:val="00836ECF"/>
    <w:rsid w:val="00841DF6"/>
    <w:rsid w:val="00845EDA"/>
    <w:rsid w:val="00862A81"/>
    <w:rsid w:val="008658D3"/>
    <w:rsid w:val="00871940"/>
    <w:rsid w:val="00871FCC"/>
    <w:rsid w:val="00875C5D"/>
    <w:rsid w:val="00876BA8"/>
    <w:rsid w:val="0088134F"/>
    <w:rsid w:val="00882260"/>
    <w:rsid w:val="008839EF"/>
    <w:rsid w:val="0089368C"/>
    <w:rsid w:val="00895AA2"/>
    <w:rsid w:val="008A519C"/>
    <w:rsid w:val="008A6587"/>
    <w:rsid w:val="008C2EFA"/>
    <w:rsid w:val="008C593E"/>
    <w:rsid w:val="008C7E57"/>
    <w:rsid w:val="008D0390"/>
    <w:rsid w:val="008D03CB"/>
    <w:rsid w:val="008D67E1"/>
    <w:rsid w:val="008D6F8D"/>
    <w:rsid w:val="008D7360"/>
    <w:rsid w:val="008D7362"/>
    <w:rsid w:val="008E0E88"/>
    <w:rsid w:val="008E4BB5"/>
    <w:rsid w:val="008E589B"/>
    <w:rsid w:val="008E7144"/>
    <w:rsid w:val="00902129"/>
    <w:rsid w:val="00903141"/>
    <w:rsid w:val="009122F7"/>
    <w:rsid w:val="00914760"/>
    <w:rsid w:val="00915822"/>
    <w:rsid w:val="00920515"/>
    <w:rsid w:val="00932F60"/>
    <w:rsid w:val="00943798"/>
    <w:rsid w:val="0094578E"/>
    <w:rsid w:val="00952106"/>
    <w:rsid w:val="009637E6"/>
    <w:rsid w:val="009770A4"/>
    <w:rsid w:val="00984B64"/>
    <w:rsid w:val="009A3A02"/>
    <w:rsid w:val="009A4DC4"/>
    <w:rsid w:val="009B53D0"/>
    <w:rsid w:val="009C0B0D"/>
    <w:rsid w:val="009C7168"/>
    <w:rsid w:val="009D32E8"/>
    <w:rsid w:val="00A0161C"/>
    <w:rsid w:val="00A0672A"/>
    <w:rsid w:val="00A1205B"/>
    <w:rsid w:val="00A13A26"/>
    <w:rsid w:val="00A166D5"/>
    <w:rsid w:val="00A17D51"/>
    <w:rsid w:val="00A21DF5"/>
    <w:rsid w:val="00A22215"/>
    <w:rsid w:val="00A47DA0"/>
    <w:rsid w:val="00A506DD"/>
    <w:rsid w:val="00A50BDF"/>
    <w:rsid w:val="00A50FAF"/>
    <w:rsid w:val="00A51CFD"/>
    <w:rsid w:val="00A56E05"/>
    <w:rsid w:val="00A6292B"/>
    <w:rsid w:val="00A63A89"/>
    <w:rsid w:val="00A63E2C"/>
    <w:rsid w:val="00A91CDB"/>
    <w:rsid w:val="00A91F98"/>
    <w:rsid w:val="00AB0289"/>
    <w:rsid w:val="00AB1F43"/>
    <w:rsid w:val="00AB2ECD"/>
    <w:rsid w:val="00AB5106"/>
    <w:rsid w:val="00AB63DF"/>
    <w:rsid w:val="00AC3B7B"/>
    <w:rsid w:val="00AC6A63"/>
    <w:rsid w:val="00AC6DFC"/>
    <w:rsid w:val="00AC7BE8"/>
    <w:rsid w:val="00AF00E9"/>
    <w:rsid w:val="00AF6466"/>
    <w:rsid w:val="00AF7107"/>
    <w:rsid w:val="00B05BF1"/>
    <w:rsid w:val="00B0713E"/>
    <w:rsid w:val="00B14BD4"/>
    <w:rsid w:val="00B170E1"/>
    <w:rsid w:val="00B23893"/>
    <w:rsid w:val="00B50DB6"/>
    <w:rsid w:val="00B63C80"/>
    <w:rsid w:val="00B65A3E"/>
    <w:rsid w:val="00B70376"/>
    <w:rsid w:val="00B7572A"/>
    <w:rsid w:val="00B75A48"/>
    <w:rsid w:val="00B80DA9"/>
    <w:rsid w:val="00B92BE6"/>
    <w:rsid w:val="00B94B66"/>
    <w:rsid w:val="00BA755D"/>
    <w:rsid w:val="00BB2149"/>
    <w:rsid w:val="00BB3FF3"/>
    <w:rsid w:val="00BB54EE"/>
    <w:rsid w:val="00BC368E"/>
    <w:rsid w:val="00BC4912"/>
    <w:rsid w:val="00BD0110"/>
    <w:rsid w:val="00BD1F0A"/>
    <w:rsid w:val="00BE44A4"/>
    <w:rsid w:val="00BF06E4"/>
    <w:rsid w:val="00BF1203"/>
    <w:rsid w:val="00BF641C"/>
    <w:rsid w:val="00C02C44"/>
    <w:rsid w:val="00C126AB"/>
    <w:rsid w:val="00C2085F"/>
    <w:rsid w:val="00C266C6"/>
    <w:rsid w:val="00C272E0"/>
    <w:rsid w:val="00C35453"/>
    <w:rsid w:val="00C43632"/>
    <w:rsid w:val="00C4636E"/>
    <w:rsid w:val="00C54F42"/>
    <w:rsid w:val="00C63408"/>
    <w:rsid w:val="00C72374"/>
    <w:rsid w:val="00C730C2"/>
    <w:rsid w:val="00C76A45"/>
    <w:rsid w:val="00C8500C"/>
    <w:rsid w:val="00C9069C"/>
    <w:rsid w:val="00C93921"/>
    <w:rsid w:val="00CA0A78"/>
    <w:rsid w:val="00CB360C"/>
    <w:rsid w:val="00CD36A4"/>
    <w:rsid w:val="00CF5AD3"/>
    <w:rsid w:val="00D01D69"/>
    <w:rsid w:val="00D03C79"/>
    <w:rsid w:val="00D11CF0"/>
    <w:rsid w:val="00D13A2C"/>
    <w:rsid w:val="00D14836"/>
    <w:rsid w:val="00D23007"/>
    <w:rsid w:val="00D25D1B"/>
    <w:rsid w:val="00D41D98"/>
    <w:rsid w:val="00D42299"/>
    <w:rsid w:val="00D43D01"/>
    <w:rsid w:val="00D45F19"/>
    <w:rsid w:val="00D47485"/>
    <w:rsid w:val="00D479EF"/>
    <w:rsid w:val="00D54399"/>
    <w:rsid w:val="00D55B88"/>
    <w:rsid w:val="00D60255"/>
    <w:rsid w:val="00D63C8F"/>
    <w:rsid w:val="00D7091E"/>
    <w:rsid w:val="00D7164F"/>
    <w:rsid w:val="00D72193"/>
    <w:rsid w:val="00D81F35"/>
    <w:rsid w:val="00D90ACB"/>
    <w:rsid w:val="00D91AEB"/>
    <w:rsid w:val="00D95597"/>
    <w:rsid w:val="00DA5F2E"/>
    <w:rsid w:val="00DB16FB"/>
    <w:rsid w:val="00DB3619"/>
    <w:rsid w:val="00DB73F5"/>
    <w:rsid w:val="00DC05F0"/>
    <w:rsid w:val="00DD070A"/>
    <w:rsid w:val="00DD4F88"/>
    <w:rsid w:val="00DE1C7C"/>
    <w:rsid w:val="00DE2A4D"/>
    <w:rsid w:val="00DE2B81"/>
    <w:rsid w:val="00DF7E48"/>
    <w:rsid w:val="00E05724"/>
    <w:rsid w:val="00E07021"/>
    <w:rsid w:val="00E07A7C"/>
    <w:rsid w:val="00E13BCB"/>
    <w:rsid w:val="00E1686A"/>
    <w:rsid w:val="00E176EC"/>
    <w:rsid w:val="00E20419"/>
    <w:rsid w:val="00E268A3"/>
    <w:rsid w:val="00E30990"/>
    <w:rsid w:val="00E36FC4"/>
    <w:rsid w:val="00E441BB"/>
    <w:rsid w:val="00E457D4"/>
    <w:rsid w:val="00E46298"/>
    <w:rsid w:val="00E554B8"/>
    <w:rsid w:val="00E6325E"/>
    <w:rsid w:val="00E63354"/>
    <w:rsid w:val="00E670A4"/>
    <w:rsid w:val="00E761D2"/>
    <w:rsid w:val="00E76348"/>
    <w:rsid w:val="00E8214D"/>
    <w:rsid w:val="00EA23D6"/>
    <w:rsid w:val="00EB099F"/>
    <w:rsid w:val="00EB7D1F"/>
    <w:rsid w:val="00EC2ACF"/>
    <w:rsid w:val="00EC4207"/>
    <w:rsid w:val="00ED76B3"/>
    <w:rsid w:val="00F15476"/>
    <w:rsid w:val="00F230F8"/>
    <w:rsid w:val="00F620A4"/>
    <w:rsid w:val="00F63441"/>
    <w:rsid w:val="00F74A5E"/>
    <w:rsid w:val="00F85934"/>
    <w:rsid w:val="00F904D8"/>
    <w:rsid w:val="00F958F5"/>
    <w:rsid w:val="00F96B49"/>
    <w:rsid w:val="00FB6950"/>
    <w:rsid w:val="00FB7F6B"/>
    <w:rsid w:val="00FC0647"/>
    <w:rsid w:val="00FC2E19"/>
    <w:rsid w:val="00FC36F2"/>
    <w:rsid w:val="00FC6B22"/>
    <w:rsid w:val="00FD6E3B"/>
    <w:rsid w:val="00FE6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64100FAC"/>
  <w15:chartTrackingRefBased/>
  <w15:docId w15:val="{275B0BE9-99BA-425C-944C-6A006BD8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0" w:qFormat="1"/>
    <w:lsdException w:name="heading 2" w:semiHidden="1" w:uiPriority="90" w:unhideWhenUsed="1" w:qFormat="1"/>
    <w:lsdException w:name="heading 3" w:semiHidden="1" w:uiPriority="90" w:unhideWhenUsed="1" w:qFormat="1"/>
    <w:lsdException w:name="heading 4" w:semiHidden="1" w:uiPriority="9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val="en-US" w:eastAsia="en-US"/>
    </w:rPr>
  </w:style>
  <w:style w:type="paragraph" w:styleId="berschrift1">
    <w:name w:val="heading 1"/>
    <w:basedOn w:val="Standard"/>
    <w:next w:val="Text1"/>
    <w:link w:val="berschrift1Zchn"/>
    <w:uiPriority w:val="90"/>
    <w:qFormat/>
    <w:rsid w:val="00411D4E"/>
    <w:pPr>
      <w:keepNext/>
      <w:numPr>
        <w:numId w:val="7"/>
      </w:numPr>
      <w:spacing w:before="240" w:after="240" w:line="240" w:lineRule="auto"/>
      <w:jc w:val="both"/>
      <w:outlineLvl w:val="0"/>
    </w:pPr>
    <w:rPr>
      <w:rFonts w:ascii="Times New Roman" w:eastAsia="Times New Roman" w:hAnsi="Times New Roman"/>
      <w:b/>
      <w:smallCaps/>
      <w:sz w:val="24"/>
      <w:szCs w:val="20"/>
      <w:lang w:val="en-GB" w:eastAsia="en-GB"/>
    </w:rPr>
  </w:style>
  <w:style w:type="paragraph" w:styleId="berschrift2">
    <w:name w:val="heading 2"/>
    <w:basedOn w:val="Standard"/>
    <w:next w:val="Standard"/>
    <w:link w:val="berschrift2Zchn"/>
    <w:uiPriority w:val="90"/>
    <w:qFormat/>
    <w:rsid w:val="00411D4E"/>
    <w:pPr>
      <w:keepNext/>
      <w:numPr>
        <w:ilvl w:val="1"/>
        <w:numId w:val="7"/>
      </w:numPr>
      <w:spacing w:after="240" w:line="240" w:lineRule="auto"/>
      <w:jc w:val="both"/>
      <w:outlineLvl w:val="1"/>
    </w:pPr>
    <w:rPr>
      <w:rFonts w:ascii="Times New Roman" w:eastAsia="Times New Roman" w:hAnsi="Times New Roman"/>
      <w:b/>
      <w:sz w:val="24"/>
      <w:szCs w:val="20"/>
      <w:lang w:val="en-GB" w:eastAsia="en-GB"/>
    </w:rPr>
  </w:style>
  <w:style w:type="paragraph" w:styleId="berschrift3">
    <w:name w:val="heading 3"/>
    <w:basedOn w:val="Standard"/>
    <w:next w:val="Standard"/>
    <w:link w:val="berschrift3Zchn"/>
    <w:uiPriority w:val="90"/>
    <w:qFormat/>
    <w:rsid w:val="00411D4E"/>
    <w:pPr>
      <w:keepNext/>
      <w:numPr>
        <w:ilvl w:val="2"/>
        <w:numId w:val="7"/>
      </w:numPr>
      <w:spacing w:after="240" w:line="240" w:lineRule="auto"/>
      <w:jc w:val="both"/>
      <w:outlineLvl w:val="2"/>
    </w:pPr>
    <w:rPr>
      <w:rFonts w:ascii="Times New Roman" w:eastAsia="Times New Roman" w:hAnsi="Times New Roman"/>
      <w:i/>
      <w:sz w:val="24"/>
      <w:szCs w:val="20"/>
      <w:lang w:val="en-GB" w:eastAsia="en-GB"/>
    </w:rPr>
  </w:style>
  <w:style w:type="paragraph" w:styleId="berschrift4">
    <w:name w:val="heading 4"/>
    <w:basedOn w:val="Standard"/>
    <w:next w:val="Standard"/>
    <w:link w:val="berschrift4Zchn"/>
    <w:uiPriority w:val="90"/>
    <w:qFormat/>
    <w:rsid w:val="00411D4E"/>
    <w:pPr>
      <w:keepNext/>
      <w:numPr>
        <w:ilvl w:val="3"/>
        <w:numId w:val="7"/>
      </w:numPr>
      <w:spacing w:after="240" w:line="240" w:lineRule="auto"/>
      <w:jc w:val="both"/>
      <w:outlineLvl w:val="3"/>
    </w:pPr>
    <w:rPr>
      <w:rFonts w:ascii="Times New Roman" w:eastAsia="Times New Roman" w:hAnsi="Times New Roman"/>
      <w:sz w:val="24"/>
      <w:szCs w:val="20"/>
      <w:lang w:val="en-GB" w:eastAsia="en-GB"/>
    </w:rPr>
  </w:style>
  <w:style w:type="paragraph" w:styleId="berschrift5">
    <w:name w:val="heading 5"/>
    <w:basedOn w:val="Standard"/>
    <w:next w:val="Standard"/>
    <w:link w:val="berschrift5Zchn"/>
    <w:semiHidden/>
    <w:rsid w:val="00411D4E"/>
    <w:pPr>
      <w:keepNext/>
      <w:numPr>
        <w:ilvl w:val="4"/>
        <w:numId w:val="7"/>
      </w:numPr>
      <w:spacing w:after="240" w:line="240" w:lineRule="auto"/>
      <w:jc w:val="both"/>
      <w:outlineLvl w:val="4"/>
    </w:pPr>
    <w:rPr>
      <w:rFonts w:ascii="Times New Roman" w:eastAsia="Times New Roman" w:hAnsi="Times New Roman"/>
      <w:sz w:val="24"/>
      <w:szCs w:val="20"/>
      <w:lang w:val="en-GB" w:eastAsia="en-GB"/>
    </w:rPr>
  </w:style>
  <w:style w:type="paragraph" w:styleId="berschrift6">
    <w:name w:val="heading 6"/>
    <w:basedOn w:val="Standard"/>
    <w:next w:val="Standard"/>
    <w:link w:val="berschrift6Zchn"/>
    <w:semiHidden/>
    <w:rsid w:val="00411D4E"/>
    <w:pPr>
      <w:keepNext/>
      <w:numPr>
        <w:ilvl w:val="5"/>
        <w:numId w:val="7"/>
      </w:numPr>
      <w:spacing w:after="240" w:line="240" w:lineRule="auto"/>
      <w:jc w:val="both"/>
      <w:outlineLvl w:val="5"/>
    </w:pPr>
    <w:rPr>
      <w:rFonts w:ascii="Times New Roman" w:eastAsia="Times New Roman" w:hAnsi="Times New Roman"/>
      <w:sz w:val="24"/>
      <w:szCs w:val="20"/>
      <w:lang w:val="en-GB" w:eastAsia="en-GB"/>
    </w:rPr>
  </w:style>
  <w:style w:type="paragraph" w:styleId="berschrift7">
    <w:name w:val="heading 7"/>
    <w:basedOn w:val="Standard"/>
    <w:next w:val="Standard"/>
    <w:link w:val="berschrift7Zchn"/>
    <w:semiHidden/>
    <w:rsid w:val="00411D4E"/>
    <w:pPr>
      <w:keepNext/>
      <w:numPr>
        <w:ilvl w:val="6"/>
        <w:numId w:val="7"/>
      </w:numPr>
      <w:spacing w:after="240" w:line="240" w:lineRule="auto"/>
      <w:jc w:val="both"/>
      <w:outlineLvl w:val="6"/>
    </w:pPr>
    <w:rPr>
      <w:rFonts w:ascii="Times New Roman" w:eastAsia="Times New Roman" w:hAnsi="Times New Roman"/>
      <w:sz w:val="24"/>
      <w:szCs w:val="20"/>
      <w:lang w:val="en-GB" w:eastAsia="en-GB"/>
    </w:rPr>
  </w:style>
  <w:style w:type="paragraph" w:styleId="berschrift8">
    <w:name w:val="heading 8"/>
    <w:basedOn w:val="Standard"/>
    <w:next w:val="Standard"/>
    <w:link w:val="berschrift8Zchn"/>
    <w:semiHidden/>
    <w:rsid w:val="00411D4E"/>
    <w:pPr>
      <w:keepNext/>
      <w:numPr>
        <w:ilvl w:val="7"/>
        <w:numId w:val="7"/>
      </w:numPr>
      <w:spacing w:after="240" w:line="240" w:lineRule="auto"/>
      <w:jc w:val="both"/>
      <w:outlineLvl w:val="7"/>
    </w:pPr>
    <w:rPr>
      <w:rFonts w:ascii="Times New Roman" w:eastAsia="Times New Roman" w:hAnsi="Times New Roman"/>
      <w:sz w:val="24"/>
      <w:szCs w:val="20"/>
      <w:lang w:val="en-GB" w:eastAsia="en-GB"/>
    </w:rPr>
  </w:style>
  <w:style w:type="paragraph" w:styleId="berschrift9">
    <w:name w:val="heading 9"/>
    <w:basedOn w:val="Standard"/>
    <w:next w:val="Standard"/>
    <w:link w:val="berschrift9Zchn"/>
    <w:semiHidden/>
    <w:rsid w:val="00411D4E"/>
    <w:pPr>
      <w:keepNext/>
      <w:numPr>
        <w:ilvl w:val="8"/>
        <w:numId w:val="7"/>
      </w:numPr>
      <w:spacing w:after="240" w:line="240" w:lineRule="auto"/>
      <w:jc w:val="both"/>
      <w:outlineLvl w:val="8"/>
    </w:pPr>
    <w:rPr>
      <w:rFonts w:ascii="Times New Roman" w:eastAsia="Times New Roman" w:hAnsi="Times New Roman"/>
      <w:sz w:val="24"/>
      <w:szCs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335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63354"/>
    <w:rPr>
      <w:rFonts w:ascii="Tahoma" w:hAnsi="Tahoma" w:cs="Tahoma"/>
      <w:sz w:val="16"/>
      <w:szCs w:val="16"/>
    </w:rPr>
  </w:style>
  <w:style w:type="paragraph" w:styleId="Kopfzeile">
    <w:name w:val="header"/>
    <w:basedOn w:val="Standard"/>
    <w:link w:val="KopfzeileZchn"/>
    <w:uiPriority w:val="99"/>
    <w:unhideWhenUsed/>
    <w:rsid w:val="008E4BB5"/>
    <w:pPr>
      <w:tabs>
        <w:tab w:val="center" w:pos="4252"/>
        <w:tab w:val="right" w:pos="8504"/>
      </w:tabs>
      <w:snapToGrid w:val="0"/>
    </w:pPr>
  </w:style>
  <w:style w:type="character" w:customStyle="1" w:styleId="KopfzeileZchn">
    <w:name w:val="Kopfzeile Zchn"/>
    <w:link w:val="Kopfzeile"/>
    <w:uiPriority w:val="99"/>
    <w:rsid w:val="008E4BB5"/>
    <w:rPr>
      <w:sz w:val="22"/>
      <w:szCs w:val="22"/>
      <w:lang w:eastAsia="en-US"/>
    </w:rPr>
  </w:style>
  <w:style w:type="paragraph" w:styleId="Fuzeile">
    <w:name w:val="footer"/>
    <w:basedOn w:val="Standard"/>
    <w:link w:val="FuzeileZchn"/>
    <w:uiPriority w:val="99"/>
    <w:unhideWhenUsed/>
    <w:rsid w:val="008E4BB5"/>
    <w:pPr>
      <w:tabs>
        <w:tab w:val="center" w:pos="4252"/>
        <w:tab w:val="right" w:pos="8504"/>
      </w:tabs>
      <w:snapToGrid w:val="0"/>
    </w:pPr>
  </w:style>
  <w:style w:type="character" w:customStyle="1" w:styleId="FuzeileZchn">
    <w:name w:val="Fußzeile Zchn"/>
    <w:link w:val="Fuzeile"/>
    <w:uiPriority w:val="99"/>
    <w:rsid w:val="008E4BB5"/>
    <w:rPr>
      <w:sz w:val="22"/>
      <w:szCs w:val="22"/>
      <w:lang w:eastAsia="en-US"/>
    </w:rPr>
  </w:style>
  <w:style w:type="character" w:styleId="Hyperlink">
    <w:name w:val="Hyperlink"/>
    <w:uiPriority w:val="99"/>
    <w:unhideWhenUsed/>
    <w:rsid w:val="0081104B"/>
    <w:rPr>
      <w:color w:val="0000FF"/>
      <w:u w:val="single"/>
    </w:rPr>
  </w:style>
  <w:style w:type="paragraph" w:customStyle="1" w:styleId="Text1">
    <w:name w:val="Text 1"/>
    <w:basedOn w:val="Standard"/>
    <w:uiPriority w:val="90"/>
    <w:qFormat/>
    <w:rsid w:val="00F63441"/>
    <w:pPr>
      <w:spacing w:after="240" w:line="240" w:lineRule="auto"/>
      <w:ind w:left="482"/>
      <w:jc w:val="both"/>
    </w:pPr>
    <w:rPr>
      <w:rFonts w:ascii="Times New Roman" w:eastAsia="Times New Roman" w:hAnsi="Times New Roman"/>
      <w:sz w:val="24"/>
      <w:szCs w:val="20"/>
      <w:lang w:val="en-GB" w:eastAsia="en-GB"/>
    </w:rPr>
  </w:style>
  <w:style w:type="character" w:styleId="Kommentarzeichen">
    <w:name w:val="annotation reference"/>
    <w:uiPriority w:val="99"/>
    <w:semiHidden/>
    <w:unhideWhenUsed/>
    <w:rsid w:val="003654D3"/>
    <w:rPr>
      <w:sz w:val="16"/>
      <w:szCs w:val="16"/>
    </w:rPr>
  </w:style>
  <w:style w:type="paragraph" w:styleId="Kommentartext">
    <w:name w:val="annotation text"/>
    <w:basedOn w:val="Standard"/>
    <w:link w:val="KommentartextZchn"/>
    <w:uiPriority w:val="99"/>
    <w:unhideWhenUsed/>
    <w:rsid w:val="003654D3"/>
    <w:rPr>
      <w:sz w:val="20"/>
      <w:szCs w:val="20"/>
    </w:rPr>
  </w:style>
  <w:style w:type="character" w:customStyle="1" w:styleId="KommentartextZchn">
    <w:name w:val="Kommentartext Zchn"/>
    <w:link w:val="Kommentartext"/>
    <w:uiPriority w:val="99"/>
    <w:rsid w:val="003654D3"/>
    <w:rPr>
      <w:lang w:val="en-US" w:eastAsia="en-US"/>
    </w:rPr>
  </w:style>
  <w:style w:type="paragraph" w:styleId="Kommentarthema">
    <w:name w:val="annotation subject"/>
    <w:basedOn w:val="Kommentartext"/>
    <w:next w:val="Kommentartext"/>
    <w:link w:val="KommentarthemaZchn"/>
    <w:uiPriority w:val="99"/>
    <w:semiHidden/>
    <w:unhideWhenUsed/>
    <w:rsid w:val="003654D3"/>
    <w:rPr>
      <w:b/>
      <w:bCs/>
    </w:rPr>
  </w:style>
  <w:style w:type="character" w:customStyle="1" w:styleId="KommentarthemaZchn">
    <w:name w:val="Kommentarthema Zchn"/>
    <w:link w:val="Kommentarthema"/>
    <w:uiPriority w:val="99"/>
    <w:semiHidden/>
    <w:rsid w:val="003654D3"/>
    <w:rPr>
      <w:b/>
      <w:bCs/>
      <w:lang w:val="en-US" w:eastAsia="en-US"/>
    </w:rPr>
  </w:style>
  <w:style w:type="paragraph" w:styleId="berarbeitung">
    <w:name w:val="Revision"/>
    <w:hidden/>
    <w:uiPriority w:val="99"/>
    <w:semiHidden/>
    <w:rsid w:val="00E20419"/>
    <w:rPr>
      <w:sz w:val="22"/>
      <w:szCs w:val="22"/>
      <w:lang w:val="en-US" w:eastAsia="en-US"/>
    </w:rPr>
  </w:style>
  <w:style w:type="character" w:styleId="Fett">
    <w:name w:val="Strong"/>
    <w:uiPriority w:val="22"/>
    <w:qFormat/>
    <w:rsid w:val="00147C10"/>
    <w:rPr>
      <w:b/>
      <w:bCs/>
    </w:rPr>
  </w:style>
  <w:style w:type="character" w:styleId="Funotenzeichen">
    <w:name w:val="footnote reference"/>
    <w:aliases w:val="Footnote symbol,Footnote reference number,note TESI,BVI fnr,Appel note de bas de p,Nota,Footnote,Odwołanie przypisu,Footnotes refss,SUPERS,Footnote Reference Superscript,Ref,de nota al pie,-E Fußnotenzeichen,Times 10 Point,E,stylish"/>
    <w:uiPriority w:val="99"/>
    <w:qFormat/>
    <w:rsid w:val="00396D41"/>
    <w:rPr>
      <w:shd w:val="clear" w:color="auto" w:fill="auto"/>
      <w:vertAlign w:val="superscript"/>
    </w:rPr>
  </w:style>
  <w:style w:type="paragraph" w:styleId="Funotentext">
    <w:name w:val="footnote text"/>
    <w:aliases w:val="Footnote text,Testo nota a piè di pagina_Rientro,stile 1,Footnote1,Footnote2,Footnote3,Footnote4,Footnote5,Footnote6,Footnote7,Footnote8,Footnote9,Footnote10,Footnote11,Footnote21,Footnote31,Footnote41,Footnote51,ft,Reference,footnote,fn,o"/>
    <w:basedOn w:val="Standard"/>
    <w:link w:val="FunotentextZchn"/>
    <w:uiPriority w:val="99"/>
    <w:qFormat/>
    <w:rsid w:val="00396D41"/>
    <w:pPr>
      <w:spacing w:after="0" w:line="240" w:lineRule="auto"/>
      <w:ind w:left="720" w:hanging="720"/>
      <w:jc w:val="both"/>
    </w:pPr>
    <w:rPr>
      <w:rFonts w:ascii="Times New Roman" w:eastAsia="Times New Roman" w:hAnsi="Times New Roman"/>
      <w:sz w:val="20"/>
      <w:szCs w:val="20"/>
      <w:lang w:val="en-GB"/>
    </w:rPr>
  </w:style>
  <w:style w:type="character" w:customStyle="1" w:styleId="FunotentextZchn">
    <w:name w:val="Fußnotentext Zchn"/>
    <w:aliases w:val="Footnote text Zchn,Testo nota a piè di pagina_Rientro Zchn,stile 1 Zchn,Footnote1 Zchn,Footnote2 Zchn,Footnote3 Zchn,Footnote4 Zchn,Footnote5 Zchn,Footnote6 Zchn,Footnote7 Zchn,Footnote8 Zchn,Footnote9 Zchn,Footnote10 Zchn,ft Zchn"/>
    <w:link w:val="Funotentext"/>
    <w:uiPriority w:val="99"/>
    <w:rsid w:val="00396D41"/>
    <w:rPr>
      <w:rFonts w:ascii="Times New Roman" w:eastAsia="Times New Roman" w:hAnsi="Times New Roman"/>
      <w:lang w:val="en-GB" w:eastAsia="en-US"/>
    </w:rPr>
  </w:style>
  <w:style w:type="paragraph" w:styleId="Listenabsatz">
    <w:name w:val="List Paragraph"/>
    <w:basedOn w:val="Standard"/>
    <w:link w:val="ListenabsatzZchn"/>
    <w:uiPriority w:val="34"/>
    <w:qFormat/>
    <w:rsid w:val="00396D41"/>
    <w:pPr>
      <w:spacing w:before="120" w:after="120" w:line="240" w:lineRule="auto"/>
      <w:ind w:left="720"/>
      <w:contextualSpacing/>
      <w:jc w:val="both"/>
    </w:pPr>
    <w:rPr>
      <w:rFonts w:ascii="Times New Roman" w:eastAsia="Times New Roman" w:hAnsi="Times New Roman"/>
      <w:sz w:val="24"/>
      <w:szCs w:val="24"/>
      <w:lang w:val="en-GB"/>
    </w:rPr>
  </w:style>
  <w:style w:type="character" w:customStyle="1" w:styleId="ms-rtefontsize-1">
    <w:name w:val="ms-rtefontsize-1"/>
    <w:basedOn w:val="Absatz-Standardschriftart"/>
    <w:rsid w:val="00396D41"/>
  </w:style>
  <w:style w:type="paragraph" w:customStyle="1" w:styleId="Default">
    <w:name w:val="Default"/>
    <w:rsid w:val="00FC2E19"/>
    <w:pPr>
      <w:autoSpaceDE w:val="0"/>
      <w:autoSpaceDN w:val="0"/>
      <w:adjustRightInd w:val="0"/>
    </w:pPr>
    <w:rPr>
      <w:rFonts w:ascii="Times New Roman" w:eastAsia="Times New Roman" w:hAnsi="Times New Roman"/>
      <w:color w:val="000000"/>
      <w:sz w:val="24"/>
      <w:szCs w:val="24"/>
      <w:lang w:val="fi-FI" w:eastAsia="en-GB"/>
    </w:rPr>
  </w:style>
  <w:style w:type="paragraph" w:styleId="Beschriftung">
    <w:name w:val="caption"/>
    <w:basedOn w:val="Standard"/>
    <w:next w:val="Standard"/>
    <w:uiPriority w:val="35"/>
    <w:unhideWhenUsed/>
    <w:qFormat/>
    <w:rsid w:val="000D0853"/>
    <w:rPr>
      <w:b/>
      <w:bCs/>
      <w:sz w:val="20"/>
      <w:szCs w:val="20"/>
    </w:rPr>
  </w:style>
  <w:style w:type="paragraph" w:styleId="StandardWeb">
    <w:name w:val="Normal (Web)"/>
    <w:basedOn w:val="Standard"/>
    <w:uiPriority w:val="99"/>
    <w:semiHidden/>
    <w:unhideWhenUsed/>
    <w:rsid w:val="00A0672A"/>
    <w:pPr>
      <w:spacing w:before="100" w:beforeAutospacing="1" w:after="100" w:afterAutospacing="1" w:line="240" w:lineRule="auto"/>
    </w:pPr>
    <w:rPr>
      <w:rFonts w:ascii="Times New Roman" w:eastAsia="Times New Roman" w:hAnsi="Times New Roman"/>
      <w:sz w:val="24"/>
      <w:szCs w:val="24"/>
      <w:lang w:val="en-IE" w:eastAsia="en-IE"/>
    </w:rPr>
  </w:style>
  <w:style w:type="table" w:styleId="Tabellenraster">
    <w:name w:val="Table Grid"/>
    <w:basedOn w:val="NormaleTabelle"/>
    <w:uiPriority w:val="59"/>
    <w:rsid w:val="00660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0"/>
    <w:rsid w:val="00411D4E"/>
    <w:rPr>
      <w:rFonts w:ascii="Times New Roman" w:eastAsia="Times New Roman" w:hAnsi="Times New Roman"/>
      <w:b/>
      <w:smallCaps/>
      <w:sz w:val="24"/>
      <w:lang w:val="en-GB" w:eastAsia="en-GB"/>
    </w:rPr>
  </w:style>
  <w:style w:type="character" w:customStyle="1" w:styleId="berschrift2Zchn">
    <w:name w:val="Überschrift 2 Zchn"/>
    <w:link w:val="berschrift2"/>
    <w:uiPriority w:val="90"/>
    <w:rsid w:val="00411D4E"/>
    <w:rPr>
      <w:rFonts w:ascii="Times New Roman" w:eastAsia="Times New Roman" w:hAnsi="Times New Roman"/>
      <w:b/>
      <w:sz w:val="24"/>
      <w:lang w:val="en-GB" w:eastAsia="en-GB"/>
    </w:rPr>
  </w:style>
  <w:style w:type="character" w:customStyle="1" w:styleId="berschrift3Zchn">
    <w:name w:val="Überschrift 3 Zchn"/>
    <w:link w:val="berschrift3"/>
    <w:uiPriority w:val="90"/>
    <w:rsid w:val="00411D4E"/>
    <w:rPr>
      <w:rFonts w:ascii="Times New Roman" w:eastAsia="Times New Roman" w:hAnsi="Times New Roman"/>
      <w:i/>
      <w:sz w:val="24"/>
      <w:lang w:val="en-GB" w:eastAsia="en-GB"/>
    </w:rPr>
  </w:style>
  <w:style w:type="character" w:customStyle="1" w:styleId="berschrift4Zchn">
    <w:name w:val="Überschrift 4 Zchn"/>
    <w:link w:val="berschrift4"/>
    <w:uiPriority w:val="90"/>
    <w:rsid w:val="00411D4E"/>
    <w:rPr>
      <w:rFonts w:ascii="Times New Roman" w:eastAsia="Times New Roman" w:hAnsi="Times New Roman"/>
      <w:sz w:val="24"/>
      <w:lang w:val="en-GB" w:eastAsia="en-GB"/>
    </w:rPr>
  </w:style>
  <w:style w:type="character" w:customStyle="1" w:styleId="berschrift5Zchn">
    <w:name w:val="Überschrift 5 Zchn"/>
    <w:link w:val="berschrift5"/>
    <w:semiHidden/>
    <w:rsid w:val="00411D4E"/>
    <w:rPr>
      <w:rFonts w:ascii="Times New Roman" w:eastAsia="Times New Roman" w:hAnsi="Times New Roman"/>
      <w:sz w:val="24"/>
      <w:lang w:val="en-GB" w:eastAsia="en-GB"/>
    </w:rPr>
  </w:style>
  <w:style w:type="character" w:customStyle="1" w:styleId="berschrift6Zchn">
    <w:name w:val="Überschrift 6 Zchn"/>
    <w:link w:val="berschrift6"/>
    <w:semiHidden/>
    <w:rsid w:val="00411D4E"/>
    <w:rPr>
      <w:rFonts w:ascii="Times New Roman" w:eastAsia="Times New Roman" w:hAnsi="Times New Roman"/>
      <w:sz w:val="24"/>
      <w:lang w:val="en-GB" w:eastAsia="en-GB"/>
    </w:rPr>
  </w:style>
  <w:style w:type="character" w:customStyle="1" w:styleId="berschrift7Zchn">
    <w:name w:val="Überschrift 7 Zchn"/>
    <w:link w:val="berschrift7"/>
    <w:semiHidden/>
    <w:rsid w:val="00411D4E"/>
    <w:rPr>
      <w:rFonts w:ascii="Times New Roman" w:eastAsia="Times New Roman" w:hAnsi="Times New Roman"/>
      <w:sz w:val="24"/>
      <w:lang w:val="en-GB" w:eastAsia="en-GB"/>
    </w:rPr>
  </w:style>
  <w:style w:type="character" w:customStyle="1" w:styleId="berschrift8Zchn">
    <w:name w:val="Überschrift 8 Zchn"/>
    <w:link w:val="berschrift8"/>
    <w:semiHidden/>
    <w:rsid w:val="00411D4E"/>
    <w:rPr>
      <w:rFonts w:ascii="Times New Roman" w:eastAsia="Times New Roman" w:hAnsi="Times New Roman"/>
      <w:sz w:val="24"/>
      <w:lang w:val="en-GB" w:eastAsia="en-GB"/>
    </w:rPr>
  </w:style>
  <w:style w:type="character" w:customStyle="1" w:styleId="berschrift9Zchn">
    <w:name w:val="Überschrift 9 Zchn"/>
    <w:link w:val="berschrift9"/>
    <w:semiHidden/>
    <w:rsid w:val="00411D4E"/>
    <w:rPr>
      <w:rFonts w:ascii="Times New Roman" w:eastAsia="Times New Roman" w:hAnsi="Times New Roman"/>
      <w:sz w:val="24"/>
      <w:lang w:val="en-GB" w:eastAsia="en-GB"/>
    </w:rPr>
  </w:style>
  <w:style w:type="paragraph" w:styleId="Listennummer3">
    <w:name w:val="List Number 3"/>
    <w:basedOn w:val="Standard"/>
    <w:rsid w:val="004679C9"/>
    <w:pPr>
      <w:numPr>
        <w:numId w:val="17"/>
      </w:numPr>
      <w:spacing w:after="240" w:line="240" w:lineRule="auto"/>
      <w:jc w:val="both"/>
    </w:pPr>
    <w:rPr>
      <w:rFonts w:ascii="Times New Roman" w:eastAsia="Times New Roman" w:hAnsi="Times New Roman"/>
      <w:sz w:val="24"/>
      <w:szCs w:val="20"/>
      <w:lang w:val="en-GB" w:eastAsia="en-GB"/>
    </w:rPr>
  </w:style>
  <w:style w:type="paragraph" w:customStyle="1" w:styleId="ListNumber3Level2">
    <w:name w:val="List Number 3 (Level 2)"/>
    <w:basedOn w:val="Standard"/>
    <w:rsid w:val="004679C9"/>
    <w:pPr>
      <w:numPr>
        <w:ilvl w:val="1"/>
        <w:numId w:val="17"/>
      </w:numPr>
      <w:spacing w:after="240" w:line="240" w:lineRule="auto"/>
      <w:jc w:val="both"/>
    </w:pPr>
    <w:rPr>
      <w:rFonts w:ascii="Times New Roman" w:eastAsia="Times New Roman" w:hAnsi="Times New Roman"/>
      <w:sz w:val="24"/>
      <w:szCs w:val="20"/>
      <w:lang w:val="en-GB" w:eastAsia="en-GB"/>
    </w:rPr>
  </w:style>
  <w:style w:type="paragraph" w:customStyle="1" w:styleId="ListNumber3Level3">
    <w:name w:val="List Number 3 (Level 3)"/>
    <w:basedOn w:val="Standard"/>
    <w:semiHidden/>
    <w:unhideWhenUsed/>
    <w:rsid w:val="004679C9"/>
    <w:pPr>
      <w:numPr>
        <w:ilvl w:val="2"/>
        <w:numId w:val="17"/>
      </w:numPr>
      <w:spacing w:after="240" w:line="240" w:lineRule="auto"/>
      <w:jc w:val="both"/>
    </w:pPr>
    <w:rPr>
      <w:rFonts w:ascii="Times New Roman" w:eastAsia="Times New Roman" w:hAnsi="Times New Roman"/>
      <w:sz w:val="24"/>
      <w:szCs w:val="20"/>
      <w:lang w:val="en-GB" w:eastAsia="en-GB"/>
    </w:rPr>
  </w:style>
  <w:style w:type="paragraph" w:customStyle="1" w:styleId="ListNumber3Level4">
    <w:name w:val="List Number 3 (Level 4)"/>
    <w:basedOn w:val="Standard"/>
    <w:semiHidden/>
    <w:unhideWhenUsed/>
    <w:rsid w:val="004679C9"/>
    <w:pPr>
      <w:numPr>
        <w:ilvl w:val="3"/>
        <w:numId w:val="17"/>
      </w:numPr>
      <w:spacing w:after="240" w:line="240" w:lineRule="auto"/>
      <w:jc w:val="both"/>
    </w:pPr>
    <w:rPr>
      <w:rFonts w:ascii="Times New Roman" w:eastAsia="Times New Roman" w:hAnsi="Times New Roman"/>
      <w:sz w:val="24"/>
      <w:szCs w:val="20"/>
      <w:lang w:val="en-GB" w:eastAsia="en-GB"/>
    </w:rPr>
  </w:style>
  <w:style w:type="paragraph" w:customStyle="1" w:styleId="trt0xe">
    <w:name w:val="trt0xe"/>
    <w:basedOn w:val="Standard"/>
    <w:rsid w:val="002D22B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ListenabsatzZchn">
    <w:name w:val="Listenabsatz Zchn"/>
    <w:link w:val="Listenabsatz"/>
    <w:locked/>
    <w:rsid w:val="003120CD"/>
    <w:rPr>
      <w:rFonts w:ascii="Times New Roman" w:eastAsia="Times New Roman" w:hAnsi="Times New Roman"/>
      <w:sz w:val="24"/>
      <w:szCs w:val="24"/>
      <w:lang w:val="en-GB" w:eastAsia="en-US"/>
    </w:rPr>
  </w:style>
  <w:style w:type="character" w:styleId="NichtaufgelsteErwhnung">
    <w:name w:val="Unresolved Mention"/>
    <w:basedOn w:val="Absatz-Standardschriftart"/>
    <w:uiPriority w:val="99"/>
    <w:semiHidden/>
    <w:unhideWhenUsed/>
    <w:rsid w:val="00BC4912"/>
    <w:rPr>
      <w:color w:val="605E5C"/>
      <w:shd w:val="clear" w:color="auto" w:fill="E1DFDD"/>
    </w:rPr>
  </w:style>
  <w:style w:type="character" w:styleId="BesuchterLink">
    <w:name w:val="FollowedHyperlink"/>
    <w:basedOn w:val="Absatz-Standardschriftart"/>
    <w:uiPriority w:val="99"/>
    <w:semiHidden/>
    <w:unhideWhenUsed/>
    <w:rsid w:val="008136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24770">
      <w:bodyDiv w:val="1"/>
      <w:marLeft w:val="0"/>
      <w:marRight w:val="0"/>
      <w:marTop w:val="0"/>
      <w:marBottom w:val="0"/>
      <w:divBdr>
        <w:top w:val="none" w:sz="0" w:space="0" w:color="auto"/>
        <w:left w:val="none" w:sz="0" w:space="0" w:color="auto"/>
        <w:bottom w:val="none" w:sz="0" w:space="0" w:color="auto"/>
        <w:right w:val="none" w:sz="0" w:space="0" w:color="auto"/>
      </w:divBdr>
    </w:div>
    <w:div w:id="863860526">
      <w:bodyDiv w:val="1"/>
      <w:marLeft w:val="0"/>
      <w:marRight w:val="0"/>
      <w:marTop w:val="0"/>
      <w:marBottom w:val="0"/>
      <w:divBdr>
        <w:top w:val="none" w:sz="0" w:space="0" w:color="auto"/>
        <w:left w:val="none" w:sz="0" w:space="0" w:color="auto"/>
        <w:bottom w:val="none" w:sz="0" w:space="0" w:color="auto"/>
        <w:right w:val="none" w:sz="0" w:space="0" w:color="auto"/>
      </w:divBdr>
    </w:div>
    <w:div w:id="20463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ec.europa.eu/eurostat/web/products-manuals-and-guidelines/-/ks-gq-20-006" TargetMode="External"/><Relationship Id="rId26" Type="http://schemas.openxmlformats.org/officeDocument/2006/relationships/hyperlink" Target="https://ec.europa.eu/eurostat/web/products-manuals-and-guidelines/-/KS-GQ-20-002" TargetMode="External"/><Relationship Id="rId3" Type="http://schemas.openxmlformats.org/officeDocument/2006/relationships/styles" Target="styles.xml"/><Relationship Id="rId21" Type="http://schemas.openxmlformats.org/officeDocument/2006/relationships/hyperlink" Target="https://unece.org/info/Statistics/events/364567" TargetMode="Externa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diagramDrawing" Target="diagrams/drawing1.xml"/><Relationship Id="rId25" Type="http://schemas.openxmlformats.org/officeDocument/2006/relationships/hyperlink" Target="https://ec.europa.eu/eurostat/web/products-manuals-and-guidelines/-/KS-GQ-20-002"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unece.org/info/Statistics/events/36456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ec.europa.eu/eurostat/statistics-explained/index.php?title=European_profiling_-_experiences_of_National_statistical_institutes"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ec.europa.eu/eurostat/web/products-manuals-and-guidelines/-/KS-GQ-20-002" TargetMode="External"/><Relationship Id="rId28" Type="http://schemas.openxmlformats.org/officeDocument/2006/relationships/footer" Target="footer1.xml"/><Relationship Id="rId10" Type="http://schemas.openxmlformats.org/officeDocument/2006/relationships/hyperlink" Target="https://ec.europa.eu/eurostat/statistics-explained/index.php?title=European_profiling_-_experiences_of_National_statistical_institutes" TargetMode="External"/><Relationship Id="rId19" Type="http://schemas.openxmlformats.org/officeDocument/2006/relationships/hyperlink" Target="https://ec.europa.eu/eurostat/web/products-manuals-and-guidelines/-/ks-gq-20-00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https://ec.europa.eu/eurostat/statistics-explained/index.php?title=Structure_of_multinational_enterprise_groups_in_the_EU" TargetMode="External"/><Relationship Id="rId27" Type="http://schemas.openxmlformats.org/officeDocument/2006/relationships/hyperlink" Target="https://www.inegi.org.mx/eventos/2021/wiesbaden/"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6AF26F-B0A3-41A9-96F3-A220F4AA6C9C}"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50554DE0-E970-45AA-B0BC-32AE2B520723}">
      <dgm:prSet phldrT="[Text]"/>
      <dgm:spPr>
        <a:xfrm>
          <a:off x="2323525" y="67579"/>
          <a:ext cx="1059167" cy="1059167"/>
        </a:xfrm>
        <a:prstGeom prst="rect">
          <a:avLst/>
        </a:prstGeom>
        <a:noFill/>
        <a:ln>
          <a:noFill/>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Preliminary Frame</a:t>
          </a:r>
        </a:p>
      </dgm:t>
    </dgm:pt>
    <dgm:pt modelId="{45A9DEF6-3E75-4E82-8DEA-CE4282CCBE0D}" type="parTrans" cxnId="{2109A0CD-EBAA-416D-AB82-D8571062DD8A}">
      <dgm:prSet/>
      <dgm:spPr/>
      <dgm:t>
        <a:bodyPr/>
        <a:lstStyle/>
        <a:p>
          <a:endParaRPr lang="en-US"/>
        </a:p>
      </dgm:t>
    </dgm:pt>
    <dgm:pt modelId="{64596927-8787-46EB-8610-F6BA8D42FD38}" type="sibTrans" cxnId="{2109A0CD-EBAA-416D-AB82-D8571062DD8A}">
      <dgm:prSet/>
      <dgm:spPr>
        <a:xfrm>
          <a:off x="459231" y="1078"/>
          <a:ext cx="2989962" cy="2989962"/>
        </a:xfrm>
        <a:prstGeom prst="circularArrow">
          <a:avLst>
            <a:gd name="adj1" fmla="val 6908"/>
            <a:gd name="adj2" fmla="val 465800"/>
            <a:gd name="adj3" fmla="val 547530"/>
            <a:gd name="adj4" fmla="val 20586670"/>
            <a:gd name="adj5" fmla="val 805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46A123BC-5D2F-4AF0-AAB0-036196DCD4D0}">
      <dgm:prSet phldrT="[Text]"/>
      <dgm:spPr>
        <a:xfrm>
          <a:off x="2323525" y="1865372"/>
          <a:ext cx="1059167" cy="1059167"/>
        </a:xfrm>
        <a:prstGeom prst="rect">
          <a:avLst/>
        </a:prstGeom>
        <a:noFill/>
        <a:ln>
          <a:noFill/>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Final Frame</a:t>
          </a:r>
        </a:p>
      </dgm:t>
    </dgm:pt>
    <dgm:pt modelId="{DDFD0A89-6671-4001-9345-FD7156E513A8}" type="parTrans" cxnId="{62BC7795-2C12-454D-A5D3-92EE8EA986FC}">
      <dgm:prSet/>
      <dgm:spPr/>
      <dgm:t>
        <a:bodyPr/>
        <a:lstStyle/>
        <a:p>
          <a:endParaRPr lang="en-US"/>
        </a:p>
      </dgm:t>
    </dgm:pt>
    <dgm:pt modelId="{52119DFF-A85B-4074-8E98-692131D57987}" type="sibTrans" cxnId="{62BC7795-2C12-454D-A5D3-92EE8EA986FC}">
      <dgm:prSet/>
      <dgm:spPr>
        <a:xfrm>
          <a:off x="459231" y="1078"/>
          <a:ext cx="2989962" cy="2989962"/>
        </a:xfrm>
        <a:prstGeom prst="circularArrow">
          <a:avLst>
            <a:gd name="adj1" fmla="val 6908"/>
            <a:gd name="adj2" fmla="val 465800"/>
            <a:gd name="adj3" fmla="val 5947530"/>
            <a:gd name="adj4" fmla="val 4386670"/>
            <a:gd name="adj5" fmla="val 805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2D197E7F-B67F-45D6-8FC7-22951787C9E5}">
      <dgm:prSet phldrT="[Text]"/>
      <dgm:spPr>
        <a:xfrm>
          <a:off x="525731" y="1865372"/>
          <a:ext cx="1059167" cy="1059167"/>
        </a:xfrm>
        <a:prstGeom prst="rect">
          <a:avLst/>
        </a:prstGeom>
        <a:noFill/>
        <a:ln>
          <a:noFill/>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Early Initial Frame</a:t>
          </a:r>
        </a:p>
      </dgm:t>
    </dgm:pt>
    <dgm:pt modelId="{84AA0CD2-D362-4B03-8BFC-09622901C5B9}" type="parTrans" cxnId="{D7B65084-DCE8-49E6-9802-B426D003D38F}">
      <dgm:prSet/>
      <dgm:spPr/>
      <dgm:t>
        <a:bodyPr/>
        <a:lstStyle/>
        <a:p>
          <a:endParaRPr lang="en-US"/>
        </a:p>
      </dgm:t>
    </dgm:pt>
    <dgm:pt modelId="{2EE224E5-9421-4CEE-8E29-90CF4E3F084C}" type="sibTrans" cxnId="{D7B65084-DCE8-49E6-9802-B426D003D38F}">
      <dgm:prSet/>
      <dgm:spPr>
        <a:xfrm>
          <a:off x="459231" y="1078"/>
          <a:ext cx="2989962" cy="2989962"/>
        </a:xfrm>
        <a:prstGeom prst="circularArrow">
          <a:avLst>
            <a:gd name="adj1" fmla="val 6908"/>
            <a:gd name="adj2" fmla="val 465800"/>
            <a:gd name="adj3" fmla="val 11347530"/>
            <a:gd name="adj4" fmla="val 9786670"/>
            <a:gd name="adj5" fmla="val 805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EEC7637C-0D82-4D43-A6AC-A4BFC15C85A1}">
      <dgm:prSet phldrT="[Text]"/>
      <dgm:spPr>
        <a:xfrm>
          <a:off x="525731" y="67579"/>
          <a:ext cx="1059167" cy="1059167"/>
        </a:xfrm>
        <a:prstGeom prst="rect">
          <a:avLst/>
        </a:prstGeom>
        <a:noFill/>
        <a:ln>
          <a:noFill/>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Initial Frame</a:t>
          </a:r>
        </a:p>
      </dgm:t>
    </dgm:pt>
    <dgm:pt modelId="{78B0D835-50C3-4B7E-A70B-667DFC5AD7B8}" type="parTrans" cxnId="{0CA243E5-D636-492D-AC1D-3329226E320B}">
      <dgm:prSet/>
      <dgm:spPr/>
      <dgm:t>
        <a:bodyPr/>
        <a:lstStyle/>
        <a:p>
          <a:endParaRPr lang="en-US"/>
        </a:p>
      </dgm:t>
    </dgm:pt>
    <dgm:pt modelId="{66A5690D-CB1D-42C9-8ACB-28F3A26E77BE}" type="sibTrans" cxnId="{0CA243E5-D636-492D-AC1D-3329226E320B}">
      <dgm:prSet/>
      <dgm:spPr>
        <a:xfrm>
          <a:off x="459231" y="1078"/>
          <a:ext cx="2989962" cy="2989962"/>
        </a:xfrm>
        <a:prstGeom prst="circularArrow">
          <a:avLst>
            <a:gd name="adj1" fmla="val 6908"/>
            <a:gd name="adj2" fmla="val 465800"/>
            <a:gd name="adj3" fmla="val 16747530"/>
            <a:gd name="adj4" fmla="val 15186670"/>
            <a:gd name="adj5" fmla="val 805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AF57313A-FC16-4F3E-8B22-BCC767D851C3}" type="pres">
      <dgm:prSet presAssocID="{F86AF26F-B0A3-41A9-96F3-A220F4AA6C9C}" presName="cycle" presStyleCnt="0">
        <dgm:presLayoutVars>
          <dgm:dir/>
          <dgm:resizeHandles val="exact"/>
        </dgm:presLayoutVars>
      </dgm:prSet>
      <dgm:spPr/>
    </dgm:pt>
    <dgm:pt modelId="{114B454C-C890-4144-A83E-7B5071A4EA26}" type="pres">
      <dgm:prSet presAssocID="{50554DE0-E970-45AA-B0BC-32AE2B520723}" presName="dummy" presStyleCnt="0"/>
      <dgm:spPr/>
    </dgm:pt>
    <dgm:pt modelId="{F2B0C297-B1C0-4BD4-B8DF-1A037DD25340}" type="pres">
      <dgm:prSet presAssocID="{50554DE0-E970-45AA-B0BC-32AE2B520723}" presName="node" presStyleLbl="revTx" presStyleIdx="0" presStyleCnt="4">
        <dgm:presLayoutVars>
          <dgm:bulletEnabled val="1"/>
        </dgm:presLayoutVars>
      </dgm:prSet>
      <dgm:spPr/>
    </dgm:pt>
    <dgm:pt modelId="{D3887470-1624-40BA-BD70-7D579F19C201}" type="pres">
      <dgm:prSet presAssocID="{64596927-8787-46EB-8610-F6BA8D42FD38}" presName="sibTrans" presStyleLbl="node1" presStyleIdx="0" presStyleCnt="4"/>
      <dgm:spPr/>
    </dgm:pt>
    <dgm:pt modelId="{F01B7595-056B-4EDF-B051-5A0E05CE7E2E}" type="pres">
      <dgm:prSet presAssocID="{46A123BC-5D2F-4AF0-AAB0-036196DCD4D0}" presName="dummy" presStyleCnt="0"/>
      <dgm:spPr/>
    </dgm:pt>
    <dgm:pt modelId="{BF248535-B103-4DEE-9474-9D152F3E663D}" type="pres">
      <dgm:prSet presAssocID="{46A123BC-5D2F-4AF0-AAB0-036196DCD4D0}" presName="node" presStyleLbl="revTx" presStyleIdx="1" presStyleCnt="4">
        <dgm:presLayoutVars>
          <dgm:bulletEnabled val="1"/>
        </dgm:presLayoutVars>
      </dgm:prSet>
      <dgm:spPr/>
    </dgm:pt>
    <dgm:pt modelId="{664E12A7-31A2-4929-A096-F667B7F6C305}" type="pres">
      <dgm:prSet presAssocID="{52119DFF-A85B-4074-8E98-692131D57987}" presName="sibTrans" presStyleLbl="node1" presStyleIdx="1" presStyleCnt="4"/>
      <dgm:spPr/>
    </dgm:pt>
    <dgm:pt modelId="{EDC0EFB2-6389-48E3-935E-3599301C103A}" type="pres">
      <dgm:prSet presAssocID="{2D197E7F-B67F-45D6-8FC7-22951787C9E5}" presName="dummy" presStyleCnt="0"/>
      <dgm:spPr/>
    </dgm:pt>
    <dgm:pt modelId="{B9C9D033-FD53-405A-B776-F33DA1C697EA}" type="pres">
      <dgm:prSet presAssocID="{2D197E7F-B67F-45D6-8FC7-22951787C9E5}" presName="node" presStyleLbl="revTx" presStyleIdx="2" presStyleCnt="4">
        <dgm:presLayoutVars>
          <dgm:bulletEnabled val="1"/>
        </dgm:presLayoutVars>
      </dgm:prSet>
      <dgm:spPr/>
    </dgm:pt>
    <dgm:pt modelId="{6205E22B-2B64-426C-A0A1-4ED482B5DE02}" type="pres">
      <dgm:prSet presAssocID="{2EE224E5-9421-4CEE-8E29-90CF4E3F084C}" presName="sibTrans" presStyleLbl="node1" presStyleIdx="2" presStyleCnt="4"/>
      <dgm:spPr/>
    </dgm:pt>
    <dgm:pt modelId="{13F609E9-C326-437B-A2FB-E6FFAD20EFDD}" type="pres">
      <dgm:prSet presAssocID="{EEC7637C-0D82-4D43-A6AC-A4BFC15C85A1}" presName="dummy" presStyleCnt="0"/>
      <dgm:spPr/>
    </dgm:pt>
    <dgm:pt modelId="{C0AFE11E-0521-4ABD-9EFA-3B43529F48C1}" type="pres">
      <dgm:prSet presAssocID="{EEC7637C-0D82-4D43-A6AC-A4BFC15C85A1}" presName="node" presStyleLbl="revTx" presStyleIdx="3" presStyleCnt="4">
        <dgm:presLayoutVars>
          <dgm:bulletEnabled val="1"/>
        </dgm:presLayoutVars>
      </dgm:prSet>
      <dgm:spPr/>
    </dgm:pt>
    <dgm:pt modelId="{A65472F0-CE5A-40FA-A429-4EC737AC20DB}" type="pres">
      <dgm:prSet presAssocID="{66A5690D-CB1D-42C9-8ACB-28F3A26E77BE}" presName="sibTrans" presStyleLbl="node1" presStyleIdx="3" presStyleCnt="4"/>
      <dgm:spPr/>
    </dgm:pt>
  </dgm:ptLst>
  <dgm:cxnLst>
    <dgm:cxn modelId="{9DEFA607-6C04-4EF5-8A0C-A44871C54BD9}" type="presOf" srcId="{2EE224E5-9421-4CEE-8E29-90CF4E3F084C}" destId="{6205E22B-2B64-426C-A0A1-4ED482B5DE02}" srcOrd="0" destOrd="0" presId="urn:microsoft.com/office/officeart/2005/8/layout/cycle1"/>
    <dgm:cxn modelId="{0DC30A0A-2233-46E2-A3C4-C48644054077}" type="presOf" srcId="{66A5690D-CB1D-42C9-8ACB-28F3A26E77BE}" destId="{A65472F0-CE5A-40FA-A429-4EC737AC20DB}" srcOrd="0" destOrd="0" presId="urn:microsoft.com/office/officeart/2005/8/layout/cycle1"/>
    <dgm:cxn modelId="{2BAC130F-CB8F-4F9A-A4CD-F20207E9D54A}" type="presOf" srcId="{50554DE0-E970-45AA-B0BC-32AE2B520723}" destId="{F2B0C297-B1C0-4BD4-B8DF-1A037DD25340}" srcOrd="0" destOrd="0" presId="urn:microsoft.com/office/officeart/2005/8/layout/cycle1"/>
    <dgm:cxn modelId="{D4537720-1F30-4A4A-9E9D-400D436DFE94}" type="presOf" srcId="{52119DFF-A85B-4074-8E98-692131D57987}" destId="{664E12A7-31A2-4929-A096-F667B7F6C305}" srcOrd="0" destOrd="0" presId="urn:microsoft.com/office/officeart/2005/8/layout/cycle1"/>
    <dgm:cxn modelId="{C9D01432-95A9-4999-8276-B08DF79E2D85}" type="presOf" srcId="{64596927-8787-46EB-8610-F6BA8D42FD38}" destId="{D3887470-1624-40BA-BD70-7D579F19C201}" srcOrd="0" destOrd="0" presId="urn:microsoft.com/office/officeart/2005/8/layout/cycle1"/>
    <dgm:cxn modelId="{5B94C76A-C78C-4C3C-9615-8F77AF802B82}" type="presOf" srcId="{F86AF26F-B0A3-41A9-96F3-A220F4AA6C9C}" destId="{AF57313A-FC16-4F3E-8B22-BCC767D851C3}" srcOrd="0" destOrd="0" presId="urn:microsoft.com/office/officeart/2005/8/layout/cycle1"/>
    <dgm:cxn modelId="{D7B65084-DCE8-49E6-9802-B426D003D38F}" srcId="{F86AF26F-B0A3-41A9-96F3-A220F4AA6C9C}" destId="{2D197E7F-B67F-45D6-8FC7-22951787C9E5}" srcOrd="2" destOrd="0" parTransId="{84AA0CD2-D362-4B03-8BFC-09622901C5B9}" sibTransId="{2EE224E5-9421-4CEE-8E29-90CF4E3F084C}"/>
    <dgm:cxn modelId="{05905A89-FE81-4DDE-BA19-37C96161D1DF}" type="presOf" srcId="{EEC7637C-0D82-4D43-A6AC-A4BFC15C85A1}" destId="{C0AFE11E-0521-4ABD-9EFA-3B43529F48C1}" srcOrd="0" destOrd="0" presId="urn:microsoft.com/office/officeart/2005/8/layout/cycle1"/>
    <dgm:cxn modelId="{62BC7795-2C12-454D-A5D3-92EE8EA986FC}" srcId="{F86AF26F-B0A3-41A9-96F3-A220F4AA6C9C}" destId="{46A123BC-5D2F-4AF0-AAB0-036196DCD4D0}" srcOrd="1" destOrd="0" parTransId="{DDFD0A89-6671-4001-9345-FD7156E513A8}" sibTransId="{52119DFF-A85B-4074-8E98-692131D57987}"/>
    <dgm:cxn modelId="{5D2496AE-711F-4143-90BB-9CD9DB85AC0A}" type="presOf" srcId="{2D197E7F-B67F-45D6-8FC7-22951787C9E5}" destId="{B9C9D033-FD53-405A-B776-F33DA1C697EA}" srcOrd="0" destOrd="0" presId="urn:microsoft.com/office/officeart/2005/8/layout/cycle1"/>
    <dgm:cxn modelId="{2109A0CD-EBAA-416D-AB82-D8571062DD8A}" srcId="{F86AF26F-B0A3-41A9-96F3-A220F4AA6C9C}" destId="{50554DE0-E970-45AA-B0BC-32AE2B520723}" srcOrd="0" destOrd="0" parTransId="{45A9DEF6-3E75-4E82-8DEA-CE4282CCBE0D}" sibTransId="{64596927-8787-46EB-8610-F6BA8D42FD38}"/>
    <dgm:cxn modelId="{0CA243E5-D636-492D-AC1D-3329226E320B}" srcId="{F86AF26F-B0A3-41A9-96F3-A220F4AA6C9C}" destId="{EEC7637C-0D82-4D43-A6AC-A4BFC15C85A1}" srcOrd="3" destOrd="0" parTransId="{78B0D835-50C3-4B7E-A70B-667DFC5AD7B8}" sibTransId="{66A5690D-CB1D-42C9-8ACB-28F3A26E77BE}"/>
    <dgm:cxn modelId="{14199BEC-5CC3-447A-BC51-F7D0C65D90F3}" type="presOf" srcId="{46A123BC-5D2F-4AF0-AAB0-036196DCD4D0}" destId="{BF248535-B103-4DEE-9474-9D152F3E663D}" srcOrd="0" destOrd="0" presId="urn:microsoft.com/office/officeart/2005/8/layout/cycle1"/>
    <dgm:cxn modelId="{69BD5512-EF1F-45A1-AE6E-966F787801E0}" type="presParOf" srcId="{AF57313A-FC16-4F3E-8B22-BCC767D851C3}" destId="{114B454C-C890-4144-A83E-7B5071A4EA26}" srcOrd="0" destOrd="0" presId="urn:microsoft.com/office/officeart/2005/8/layout/cycle1"/>
    <dgm:cxn modelId="{77656B34-8CDC-48F2-900B-53BCB77929D9}" type="presParOf" srcId="{AF57313A-FC16-4F3E-8B22-BCC767D851C3}" destId="{F2B0C297-B1C0-4BD4-B8DF-1A037DD25340}" srcOrd="1" destOrd="0" presId="urn:microsoft.com/office/officeart/2005/8/layout/cycle1"/>
    <dgm:cxn modelId="{D13FCF9A-9C03-45B8-B761-1B72438C775D}" type="presParOf" srcId="{AF57313A-FC16-4F3E-8B22-BCC767D851C3}" destId="{D3887470-1624-40BA-BD70-7D579F19C201}" srcOrd="2" destOrd="0" presId="urn:microsoft.com/office/officeart/2005/8/layout/cycle1"/>
    <dgm:cxn modelId="{54747ACB-D2A0-45C2-9F2D-D1D21D5935F1}" type="presParOf" srcId="{AF57313A-FC16-4F3E-8B22-BCC767D851C3}" destId="{F01B7595-056B-4EDF-B051-5A0E05CE7E2E}" srcOrd="3" destOrd="0" presId="urn:microsoft.com/office/officeart/2005/8/layout/cycle1"/>
    <dgm:cxn modelId="{C717C550-123B-4E80-BA7C-2CC8C047DB0D}" type="presParOf" srcId="{AF57313A-FC16-4F3E-8B22-BCC767D851C3}" destId="{BF248535-B103-4DEE-9474-9D152F3E663D}" srcOrd="4" destOrd="0" presId="urn:microsoft.com/office/officeart/2005/8/layout/cycle1"/>
    <dgm:cxn modelId="{B9158E0A-8834-4A1D-B5F8-A4095F06030D}" type="presParOf" srcId="{AF57313A-FC16-4F3E-8B22-BCC767D851C3}" destId="{664E12A7-31A2-4929-A096-F667B7F6C305}" srcOrd="5" destOrd="0" presId="urn:microsoft.com/office/officeart/2005/8/layout/cycle1"/>
    <dgm:cxn modelId="{6AC33BA9-7AE9-4ECB-8AFA-6FEF5E49F923}" type="presParOf" srcId="{AF57313A-FC16-4F3E-8B22-BCC767D851C3}" destId="{EDC0EFB2-6389-48E3-935E-3599301C103A}" srcOrd="6" destOrd="0" presId="urn:microsoft.com/office/officeart/2005/8/layout/cycle1"/>
    <dgm:cxn modelId="{434574AD-4753-4069-90F9-EFCBEE7E51AE}" type="presParOf" srcId="{AF57313A-FC16-4F3E-8B22-BCC767D851C3}" destId="{B9C9D033-FD53-405A-B776-F33DA1C697EA}" srcOrd="7" destOrd="0" presId="urn:microsoft.com/office/officeart/2005/8/layout/cycle1"/>
    <dgm:cxn modelId="{E8321936-269D-4CB1-B45B-2952EE9A70CD}" type="presParOf" srcId="{AF57313A-FC16-4F3E-8B22-BCC767D851C3}" destId="{6205E22B-2B64-426C-A0A1-4ED482B5DE02}" srcOrd="8" destOrd="0" presId="urn:microsoft.com/office/officeart/2005/8/layout/cycle1"/>
    <dgm:cxn modelId="{63F2BE2D-B7E1-4DFC-8BB0-FFBAEA9EF24F}" type="presParOf" srcId="{AF57313A-FC16-4F3E-8B22-BCC767D851C3}" destId="{13F609E9-C326-437B-A2FB-E6FFAD20EFDD}" srcOrd="9" destOrd="0" presId="urn:microsoft.com/office/officeart/2005/8/layout/cycle1"/>
    <dgm:cxn modelId="{30E865F8-AB45-4312-8E7A-C90BC270AF4D}" type="presParOf" srcId="{AF57313A-FC16-4F3E-8B22-BCC767D851C3}" destId="{C0AFE11E-0521-4ABD-9EFA-3B43529F48C1}" srcOrd="10" destOrd="0" presId="urn:microsoft.com/office/officeart/2005/8/layout/cycle1"/>
    <dgm:cxn modelId="{B0EAF783-C7F6-48C9-A71B-5B4377CDA2CC}" type="presParOf" srcId="{AF57313A-FC16-4F3E-8B22-BCC767D851C3}" destId="{A65472F0-CE5A-40FA-A429-4EC737AC20DB}" srcOrd="11" destOrd="0" presId="urn:microsoft.com/office/officeart/2005/8/layout/cycl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B0C297-B1C0-4BD4-B8DF-1A037DD25340}">
      <dsp:nvSpPr>
        <dsp:cNvPr id="0" name=""/>
        <dsp:cNvSpPr/>
      </dsp:nvSpPr>
      <dsp:spPr>
        <a:xfrm>
          <a:off x="1774180" y="52235"/>
          <a:ext cx="825661" cy="825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dirty="0">
              <a:solidFill>
                <a:sysClr val="windowText" lastClr="000000">
                  <a:hueOff val="0"/>
                  <a:satOff val="0"/>
                  <a:lumOff val="0"/>
                  <a:alphaOff val="0"/>
                </a:sysClr>
              </a:solidFill>
              <a:latin typeface="Calibri" panose="020F0502020204030204"/>
              <a:ea typeface="+mn-ea"/>
              <a:cs typeface="+mn-cs"/>
            </a:rPr>
            <a:t>Preliminary Frame</a:t>
          </a:r>
        </a:p>
      </dsp:txBody>
      <dsp:txXfrm>
        <a:off x="1774180" y="52235"/>
        <a:ext cx="825661" cy="825661"/>
      </dsp:txXfrm>
    </dsp:sp>
    <dsp:sp modelId="{D3887470-1624-40BA-BD70-7D579F19C201}">
      <dsp:nvSpPr>
        <dsp:cNvPr id="0" name=""/>
        <dsp:cNvSpPr/>
      </dsp:nvSpPr>
      <dsp:spPr>
        <a:xfrm>
          <a:off x="319957" y="235"/>
          <a:ext cx="2331884" cy="2331884"/>
        </a:xfrm>
        <a:prstGeom prst="circularArrow">
          <a:avLst>
            <a:gd name="adj1" fmla="val 6908"/>
            <a:gd name="adj2" fmla="val 465800"/>
            <a:gd name="adj3" fmla="val 547530"/>
            <a:gd name="adj4" fmla="val 20586670"/>
            <a:gd name="adj5" fmla="val 805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248535-B103-4DEE-9474-9D152F3E663D}">
      <dsp:nvSpPr>
        <dsp:cNvPr id="0" name=""/>
        <dsp:cNvSpPr/>
      </dsp:nvSpPr>
      <dsp:spPr>
        <a:xfrm>
          <a:off x="1774180" y="1454458"/>
          <a:ext cx="825661" cy="825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dirty="0">
              <a:solidFill>
                <a:sysClr val="windowText" lastClr="000000">
                  <a:hueOff val="0"/>
                  <a:satOff val="0"/>
                  <a:lumOff val="0"/>
                  <a:alphaOff val="0"/>
                </a:sysClr>
              </a:solidFill>
              <a:latin typeface="Calibri" panose="020F0502020204030204"/>
              <a:ea typeface="+mn-ea"/>
              <a:cs typeface="+mn-cs"/>
            </a:rPr>
            <a:t>Final Frame</a:t>
          </a:r>
        </a:p>
      </dsp:txBody>
      <dsp:txXfrm>
        <a:off x="1774180" y="1454458"/>
        <a:ext cx="825661" cy="825661"/>
      </dsp:txXfrm>
    </dsp:sp>
    <dsp:sp modelId="{664E12A7-31A2-4929-A096-F667B7F6C305}">
      <dsp:nvSpPr>
        <dsp:cNvPr id="0" name=""/>
        <dsp:cNvSpPr/>
      </dsp:nvSpPr>
      <dsp:spPr>
        <a:xfrm>
          <a:off x="319957" y="235"/>
          <a:ext cx="2331884" cy="2331884"/>
        </a:xfrm>
        <a:prstGeom prst="circularArrow">
          <a:avLst>
            <a:gd name="adj1" fmla="val 6908"/>
            <a:gd name="adj2" fmla="val 465800"/>
            <a:gd name="adj3" fmla="val 5947530"/>
            <a:gd name="adj4" fmla="val 4386670"/>
            <a:gd name="adj5" fmla="val 805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C9D033-FD53-405A-B776-F33DA1C697EA}">
      <dsp:nvSpPr>
        <dsp:cNvPr id="0" name=""/>
        <dsp:cNvSpPr/>
      </dsp:nvSpPr>
      <dsp:spPr>
        <a:xfrm>
          <a:off x="371958" y="1454458"/>
          <a:ext cx="825661" cy="825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dirty="0">
              <a:solidFill>
                <a:sysClr val="windowText" lastClr="000000">
                  <a:hueOff val="0"/>
                  <a:satOff val="0"/>
                  <a:lumOff val="0"/>
                  <a:alphaOff val="0"/>
                </a:sysClr>
              </a:solidFill>
              <a:latin typeface="Calibri" panose="020F0502020204030204"/>
              <a:ea typeface="+mn-ea"/>
              <a:cs typeface="+mn-cs"/>
            </a:rPr>
            <a:t>Early Initial Frame</a:t>
          </a:r>
        </a:p>
      </dsp:txBody>
      <dsp:txXfrm>
        <a:off x="371958" y="1454458"/>
        <a:ext cx="825661" cy="825661"/>
      </dsp:txXfrm>
    </dsp:sp>
    <dsp:sp modelId="{6205E22B-2B64-426C-A0A1-4ED482B5DE02}">
      <dsp:nvSpPr>
        <dsp:cNvPr id="0" name=""/>
        <dsp:cNvSpPr/>
      </dsp:nvSpPr>
      <dsp:spPr>
        <a:xfrm>
          <a:off x="319957" y="235"/>
          <a:ext cx="2331884" cy="2331884"/>
        </a:xfrm>
        <a:prstGeom prst="circularArrow">
          <a:avLst>
            <a:gd name="adj1" fmla="val 6908"/>
            <a:gd name="adj2" fmla="val 465800"/>
            <a:gd name="adj3" fmla="val 11347530"/>
            <a:gd name="adj4" fmla="val 9786670"/>
            <a:gd name="adj5" fmla="val 805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AFE11E-0521-4ABD-9EFA-3B43529F48C1}">
      <dsp:nvSpPr>
        <dsp:cNvPr id="0" name=""/>
        <dsp:cNvSpPr/>
      </dsp:nvSpPr>
      <dsp:spPr>
        <a:xfrm>
          <a:off x="371958" y="52235"/>
          <a:ext cx="825661" cy="8256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dirty="0">
              <a:solidFill>
                <a:sysClr val="windowText" lastClr="000000">
                  <a:hueOff val="0"/>
                  <a:satOff val="0"/>
                  <a:lumOff val="0"/>
                  <a:alphaOff val="0"/>
                </a:sysClr>
              </a:solidFill>
              <a:latin typeface="Calibri" panose="020F0502020204030204"/>
              <a:ea typeface="+mn-ea"/>
              <a:cs typeface="+mn-cs"/>
            </a:rPr>
            <a:t>Initial Frame</a:t>
          </a:r>
        </a:p>
      </dsp:txBody>
      <dsp:txXfrm>
        <a:off x="371958" y="52235"/>
        <a:ext cx="825661" cy="825661"/>
      </dsp:txXfrm>
    </dsp:sp>
    <dsp:sp modelId="{A65472F0-CE5A-40FA-A429-4EC737AC20DB}">
      <dsp:nvSpPr>
        <dsp:cNvPr id="0" name=""/>
        <dsp:cNvSpPr/>
      </dsp:nvSpPr>
      <dsp:spPr>
        <a:xfrm>
          <a:off x="319957" y="235"/>
          <a:ext cx="2331884" cy="2331884"/>
        </a:xfrm>
        <a:prstGeom prst="circularArrow">
          <a:avLst>
            <a:gd name="adj1" fmla="val 6908"/>
            <a:gd name="adj2" fmla="val 465800"/>
            <a:gd name="adj3" fmla="val 16747530"/>
            <a:gd name="adj4" fmla="val 15186670"/>
            <a:gd name="adj5" fmla="val 805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4134-5F22-49CE-A9F2-640B8B76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3806</Words>
  <Characters>23980</Characters>
  <Application>Microsoft Office Word</Application>
  <DocSecurity>0</DocSecurity>
  <Lines>199</Lines>
  <Paragraphs>55</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Titre</vt:lpstr>
      </vt:variant>
      <vt:variant>
        <vt:i4>1</vt:i4>
      </vt:variant>
      <vt:variant>
        <vt:lpstr>タイトル</vt:lpstr>
      </vt:variant>
      <vt:variant>
        <vt:i4>1</vt:i4>
      </vt:variant>
    </vt:vector>
  </HeadingPairs>
  <TitlesOfParts>
    <vt:vector size="5" baseType="lpstr">
      <vt:lpstr/>
      <vt:lpstr/>
      <vt:lpstr/>
      <vt:lpstr/>
      <vt:lpstr/>
    </vt:vector>
  </TitlesOfParts>
  <Manager/>
  <Company/>
  <LinksUpToDate>false</LinksUpToDate>
  <CharactersWithSpaces>27731</CharactersWithSpaces>
  <SharedDoc>false</SharedDoc>
  <HLinks>
    <vt:vector size="12" baseType="variant">
      <vt:variant>
        <vt:i4>2359395</vt:i4>
      </vt:variant>
      <vt:variant>
        <vt:i4>15</vt:i4>
      </vt:variant>
      <vt:variant>
        <vt:i4>0</vt:i4>
      </vt:variant>
      <vt:variant>
        <vt:i4>5</vt:i4>
      </vt:variant>
      <vt:variant>
        <vt:lpwstr>https://www.dgins2019.sk/bratislava-conclusions</vt:lpwstr>
      </vt:variant>
      <vt:variant>
        <vt:lpwstr/>
      </vt:variant>
      <vt:variant>
        <vt:i4>2359395</vt:i4>
      </vt:variant>
      <vt:variant>
        <vt:i4>0</vt:i4>
      </vt:variant>
      <vt:variant>
        <vt:i4>0</vt:i4>
      </vt:variant>
      <vt:variant>
        <vt:i4>5</vt:i4>
      </vt:variant>
      <vt:variant>
        <vt:lpwstr>https://www.dgins2019.sk/bratislava-conclusions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Rommelspacher, Simon (E11)</dc:creator>
  <cp:keywords/>
  <cp:lastModifiedBy>Rommelspacher, Simon (E11)</cp:lastModifiedBy>
  <cp:revision>3</cp:revision>
  <cp:lastPrinted>2023-08-23T14:59:00Z</cp:lastPrinted>
  <dcterms:created xsi:type="dcterms:W3CDTF">2023-09-28T14:00:00Z</dcterms:created>
  <dcterms:modified xsi:type="dcterms:W3CDTF">2023-09-28T15:34:00Z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2023-05-31T09:01:06Z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0715c2d6-db34-40c6-999c-d055b244fc00</vt:lpwstr>
  </property>
  <property fmtid="{D5CDD505-2E9C-101B-9397-08002B2CF9AE}" pid="8" name="MSIP_Label_6bd9ddd1-4d20-43f6-abfa-fc3c07406f94_ContentBits">
    <vt:lpwstr>0</vt:lpwstr>
  </property>
</Properties>
</file>